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40D94">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42D7F87">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0452399B">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CD98D97">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943FA8F">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7332734">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69102DE">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1EB93644">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801F862">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天津轻工职业技术学院2023年度部门决算</w:t>
      </w:r>
    </w:p>
    <w:p w14:paraId="6F828045">
      <w:pPr>
        <w:autoSpaceDE w:val="0"/>
        <w:autoSpaceDN w:val="0"/>
        <w:adjustRightInd w:val="0"/>
        <w:spacing w:line="580" w:lineRule="exact"/>
        <w:jc w:val="center"/>
        <w:rPr>
          <w:rFonts w:ascii="Times New Roman" w:hAnsi="Times New Roman" w:eastAsia="黑体" w:cs="黑体"/>
          <w:sz w:val="30"/>
          <w:szCs w:val="30"/>
          <w:highlight w:val="none"/>
        </w:rPr>
      </w:pPr>
    </w:p>
    <w:p w14:paraId="29AEB366">
      <w:pPr>
        <w:autoSpaceDE w:val="0"/>
        <w:autoSpaceDN w:val="0"/>
        <w:adjustRightInd w:val="0"/>
        <w:spacing w:line="580" w:lineRule="exact"/>
        <w:jc w:val="center"/>
        <w:rPr>
          <w:rFonts w:ascii="Times New Roman" w:hAnsi="Times New Roman" w:eastAsia="黑体" w:cs="黑体"/>
          <w:sz w:val="30"/>
          <w:szCs w:val="30"/>
          <w:highlight w:val="none"/>
        </w:rPr>
      </w:pPr>
    </w:p>
    <w:p w14:paraId="1FD87709">
      <w:pPr>
        <w:autoSpaceDE w:val="0"/>
        <w:autoSpaceDN w:val="0"/>
        <w:adjustRightInd w:val="0"/>
        <w:spacing w:line="580" w:lineRule="exact"/>
        <w:jc w:val="center"/>
        <w:rPr>
          <w:rFonts w:ascii="Times New Roman" w:hAnsi="Times New Roman" w:eastAsia="黑体" w:cs="黑体"/>
          <w:sz w:val="30"/>
          <w:szCs w:val="30"/>
          <w:highlight w:val="none"/>
        </w:rPr>
      </w:pPr>
    </w:p>
    <w:p w14:paraId="1F13081F">
      <w:pPr>
        <w:autoSpaceDE w:val="0"/>
        <w:autoSpaceDN w:val="0"/>
        <w:adjustRightInd w:val="0"/>
        <w:spacing w:line="580" w:lineRule="exact"/>
        <w:jc w:val="center"/>
        <w:rPr>
          <w:rFonts w:ascii="Times New Roman" w:hAnsi="Times New Roman" w:eastAsia="黑体" w:cs="黑体"/>
          <w:sz w:val="30"/>
          <w:szCs w:val="30"/>
          <w:highlight w:val="none"/>
        </w:rPr>
      </w:pPr>
    </w:p>
    <w:p w14:paraId="2EEFB712">
      <w:pPr>
        <w:autoSpaceDE w:val="0"/>
        <w:autoSpaceDN w:val="0"/>
        <w:adjustRightInd w:val="0"/>
        <w:spacing w:line="580" w:lineRule="exact"/>
        <w:jc w:val="center"/>
        <w:rPr>
          <w:rFonts w:ascii="Times New Roman" w:hAnsi="Times New Roman" w:eastAsia="黑体" w:cs="黑体"/>
          <w:sz w:val="30"/>
          <w:szCs w:val="30"/>
          <w:highlight w:val="none"/>
        </w:rPr>
      </w:pPr>
    </w:p>
    <w:p w14:paraId="4A681A70">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0DE1B054">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626D82BB">
      <w:pPr>
        <w:autoSpaceDE w:val="0"/>
        <w:autoSpaceDN w:val="0"/>
        <w:adjustRightInd w:val="0"/>
        <w:spacing w:line="600" w:lineRule="exact"/>
        <w:jc w:val="left"/>
        <w:rPr>
          <w:rFonts w:ascii="Times New Roman" w:hAnsi="Times New Roman" w:eastAsia="黑体" w:cs="黑体"/>
          <w:kern w:val="0"/>
          <w:sz w:val="30"/>
          <w:szCs w:val="30"/>
          <w:highlight w:val="none"/>
        </w:rPr>
      </w:pPr>
    </w:p>
    <w:p w14:paraId="3F603F8D">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14:paraId="05EACF1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14:paraId="670FC55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14:paraId="64AD30CF">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14:paraId="0FFECCF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14:paraId="472AE79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14:paraId="470E492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14:paraId="4D9FC47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14:paraId="566D26B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14:paraId="1612675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14:paraId="3CE315E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14:paraId="16041EE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14:paraId="5823ADF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14:paraId="67A5D9B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14:paraId="38D3988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14:paraId="0044F31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14:paraId="67273A56">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14:paraId="6091A98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14:paraId="3EE62D3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14:paraId="07AD967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14:paraId="2833DB2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14:paraId="78B6E7C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14:paraId="438946C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14:paraId="56942D0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14:paraId="548AA61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14:paraId="6421160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14:paraId="6DC3259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14:paraId="46FAB5F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14:paraId="5AD66AC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14:paraId="58C0515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14:paraId="458D162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14:paraId="257DC279">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14:paraId="72558801">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3DB67F03">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18F5F6CC">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15DD8145">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14569D3E">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天津轻工职业技术学院2001年1月由天津轻工行业三所职业院校合并组建成立，经教育部备案、天津市人民政府批准为公办全日制普通高等学校，隶属天津渤海轻工投资集团有限公司。培养高等专科学历技术应用人才，促进科技文化发展。（工程类/管理类/艺术类）学科高等专科学历教育、科学研究、继续教育、专业培训、学术交流相关的社会服务。</w:t>
      </w:r>
    </w:p>
    <w:p w14:paraId="0470E1B2">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121B5F94">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天津轻工职业技术学院</w:t>
      </w:r>
      <w:r>
        <w:rPr>
          <w:rFonts w:hint="eastAsia" w:ascii="Times New Roman" w:hAnsi="Times New Roman" w:eastAsia="仿宋_GB2312" w:cs="仿宋_GB2312"/>
          <w:kern w:val="0"/>
          <w:sz w:val="30"/>
          <w:szCs w:val="30"/>
          <w:highlight w:val="none"/>
        </w:rPr>
        <w:t>内设</w:t>
      </w:r>
      <w:r>
        <w:rPr>
          <w:rFonts w:hint="eastAsia" w:ascii="Times New Roman" w:hAnsi="Times New Roman" w:eastAsia="仿宋_GB2312" w:cs="仿宋_GB2312"/>
          <w:kern w:val="0"/>
          <w:sz w:val="30"/>
          <w:szCs w:val="30"/>
          <w:highlight w:val="none"/>
          <w:lang w:eastAsia="zh-CN"/>
        </w:rPr>
        <w:t>30</w:t>
      </w:r>
      <w:r>
        <w:rPr>
          <w:rFonts w:hint="eastAsia" w:ascii="Times New Roman" w:hAnsi="Times New Roman" w:eastAsia="仿宋_GB2312" w:cs="仿宋_GB2312"/>
          <w:kern w:val="0"/>
          <w:sz w:val="30"/>
          <w:szCs w:val="30"/>
          <w:highlight w:val="none"/>
        </w:rPr>
        <w:t>个职能处室；下辖</w:t>
      </w:r>
      <w:r>
        <w:rPr>
          <w:rFonts w:hint="eastAsia" w:ascii="Times New Roman" w:hAnsi="Times New Roman" w:eastAsia="仿宋_GB2312" w:cs="仿宋_GB2312"/>
          <w:kern w:val="0"/>
          <w:sz w:val="30"/>
          <w:szCs w:val="30"/>
          <w:highlight w:val="none"/>
          <w:lang w:eastAsia="zh-CN"/>
        </w:rPr>
        <w:t>0</w:t>
      </w:r>
      <w:r>
        <w:rPr>
          <w:rFonts w:hint="eastAsia" w:ascii="Times New Roman" w:hAnsi="Times New Roman" w:eastAsia="仿宋_GB2312" w:cs="仿宋_GB2312"/>
          <w:kern w:val="0"/>
          <w:sz w:val="30"/>
          <w:szCs w:val="30"/>
          <w:highlight w:val="none"/>
        </w:rPr>
        <w:t>个预算单位。纳入</w:t>
      </w:r>
      <w:r>
        <w:rPr>
          <w:rFonts w:hint="eastAsia" w:ascii="Times New Roman" w:hAnsi="Times New Roman" w:eastAsia="仿宋_GB2312" w:cs="仿宋_GB2312"/>
          <w:kern w:val="0"/>
          <w:sz w:val="30"/>
          <w:szCs w:val="30"/>
          <w:highlight w:val="none"/>
          <w:lang w:eastAsia="zh-CN"/>
        </w:rPr>
        <w:t>天津轻工职业技术学院2023</w:t>
      </w:r>
      <w:r>
        <w:rPr>
          <w:rFonts w:hint="eastAsia" w:ascii="Times New Roman" w:hAnsi="Times New Roman" w:eastAsia="仿宋_GB2312" w:cs="仿宋_GB2312"/>
          <w:kern w:val="0"/>
          <w:sz w:val="30"/>
          <w:szCs w:val="30"/>
          <w:highlight w:val="none"/>
        </w:rPr>
        <w:t>年度部门决算编制范围的单位包括：</w:t>
      </w:r>
    </w:p>
    <w:p w14:paraId="4247EDAA">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无</w:t>
      </w:r>
    </w:p>
    <w:p w14:paraId="6215B1FA">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4453BF71">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4DD7F861">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53C3D16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1117F42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191D85C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671B0F3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3643DDD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5A3D662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0764983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4CC1BB3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673F3DE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04B474F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6E68724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4CC0433B">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14:paraId="69FCDFCD">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14:paraId="5809663C">
      <w:pPr>
        <w:keepNext/>
        <w:keepLines/>
        <w:autoSpaceDE w:val="0"/>
        <w:autoSpaceDN w:val="0"/>
        <w:adjustRightInd w:val="0"/>
        <w:spacing w:line="600" w:lineRule="exact"/>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1.天津</w:t>
      </w:r>
      <w:r>
        <w:rPr>
          <w:rFonts w:hint="eastAsia" w:ascii="Times New Roman" w:hAnsi="Times New Roman" w:eastAsia="仿宋_GB2312" w:cs="仿宋_GB2312"/>
          <w:kern w:val="0"/>
          <w:sz w:val="30"/>
          <w:szCs w:val="30"/>
          <w:lang w:val="en-US" w:eastAsia="zh-CN"/>
        </w:rPr>
        <w:t>轻工职业技术学院</w:t>
      </w:r>
      <w:r>
        <w:rPr>
          <w:rFonts w:hint="eastAsia" w:ascii="Times New Roman" w:hAnsi="Times New Roman" w:eastAsia="仿宋_GB2312" w:cs="仿宋_GB2312"/>
          <w:kern w:val="0"/>
          <w:sz w:val="30"/>
          <w:szCs w:val="30"/>
        </w:rPr>
        <w:t>2023年度政府性基金预算财政拨款收入支出决算表为空表。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 xml:space="preserve">2. </w:t>
      </w:r>
      <w:r>
        <w:rPr>
          <w:rFonts w:hint="eastAsia" w:ascii="Times New Roman" w:hAnsi="Times New Roman" w:eastAsia="仿宋_GB2312" w:cs="仿宋_GB2312"/>
          <w:kern w:val="0"/>
          <w:sz w:val="30"/>
          <w:szCs w:val="30"/>
        </w:rPr>
        <w:t>天津</w:t>
      </w:r>
      <w:r>
        <w:rPr>
          <w:rFonts w:hint="eastAsia" w:ascii="Times New Roman" w:hAnsi="Times New Roman" w:eastAsia="仿宋_GB2312" w:cs="仿宋_GB2312"/>
          <w:kern w:val="0"/>
          <w:sz w:val="30"/>
          <w:szCs w:val="30"/>
          <w:lang w:val="en-US" w:eastAsia="zh-CN"/>
        </w:rPr>
        <w:t>轻工职业技术学院</w:t>
      </w:r>
      <w:r>
        <w:rPr>
          <w:rFonts w:hint="eastAsia" w:ascii="Times New Roman" w:hAnsi="Times New Roman" w:eastAsia="仿宋_GB2312" w:cs="仿宋_GB2312"/>
          <w:kern w:val="0"/>
          <w:sz w:val="30"/>
          <w:szCs w:val="30"/>
        </w:rPr>
        <w:t>2023年度国有资本经营预算财政拨款收入支出决算表为空表。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 xml:space="preserve">3. </w:t>
      </w:r>
      <w:r>
        <w:rPr>
          <w:rFonts w:hint="eastAsia" w:ascii="Times New Roman" w:hAnsi="Times New Roman" w:eastAsia="仿宋_GB2312" w:cs="仿宋_GB2312"/>
          <w:kern w:val="0"/>
          <w:sz w:val="30"/>
          <w:szCs w:val="30"/>
        </w:rPr>
        <w:t>天津</w:t>
      </w:r>
      <w:r>
        <w:rPr>
          <w:rFonts w:hint="eastAsia" w:ascii="Times New Roman" w:hAnsi="Times New Roman" w:eastAsia="仿宋_GB2312" w:cs="仿宋_GB2312"/>
          <w:kern w:val="0"/>
          <w:sz w:val="30"/>
          <w:szCs w:val="30"/>
          <w:lang w:val="en-US" w:eastAsia="zh-CN"/>
        </w:rPr>
        <w:t>轻工职业技术学院</w:t>
      </w:r>
      <w:r>
        <w:rPr>
          <w:rFonts w:hint="eastAsia" w:ascii="Times New Roman" w:hAnsi="Times New Roman" w:eastAsia="仿宋_GB2312" w:cs="仿宋_GB2312"/>
          <w:kern w:val="0"/>
          <w:sz w:val="30"/>
          <w:szCs w:val="30"/>
        </w:rPr>
        <w:t>2023年度财政拨款“三公”经费支出决算表为空表。</w:t>
      </w:r>
    </w:p>
    <w:p w14:paraId="23689293">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p>
    <w:p w14:paraId="3EFE9A3E">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p>
    <w:p w14:paraId="03D1EEC4">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6BC5B626">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5E0BF2B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3AFD7700">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highlight w:val="none"/>
        </w:rPr>
      </w:pPr>
      <w:r>
        <w:rPr>
          <w:rFonts w:hint="eastAsia" w:ascii="Times New Roman" w:hAnsi="Times New Roman" w:eastAsia="仿宋" w:cs="仿宋"/>
          <w:kern w:val="0"/>
          <w:sz w:val="30"/>
          <w:szCs w:val="30"/>
          <w:highlight w:val="none"/>
          <w:lang w:val="zh-CN"/>
        </w:rPr>
        <w:t>天津轻工职业技术学院</w:t>
      </w:r>
      <w:r>
        <w:rPr>
          <w:rFonts w:hint="eastAsia" w:ascii="Times New Roman" w:hAnsi="Times New Roman" w:eastAsia="仿宋" w:cs="Times New Roman"/>
          <w:kern w:val="0"/>
          <w:sz w:val="30"/>
          <w:szCs w:val="30"/>
          <w:highlight w:val="none"/>
          <w:lang w:val="zh-CN"/>
        </w:rPr>
        <w:t>2023</w:t>
      </w:r>
      <w:r>
        <w:rPr>
          <w:rFonts w:hint="eastAsia" w:ascii="Times New Roman" w:hAnsi="Times New Roman" w:eastAsia="仿宋_GB2312" w:cs="仿宋_GB2312"/>
          <w:kern w:val="0"/>
          <w:sz w:val="30"/>
          <w:szCs w:val="30"/>
          <w:highlight w:val="none"/>
          <w:lang w:val="zh-CN"/>
        </w:rPr>
        <w:t>年度收入、支出决算总计</w:t>
      </w:r>
      <w:r>
        <w:rPr>
          <w:rFonts w:hint="eastAsia" w:ascii="Times New Roman" w:hAnsi="Times New Roman" w:eastAsia="华文中宋"/>
          <w:sz w:val="30"/>
          <w:szCs w:val="30"/>
          <w:highlight w:val="none"/>
          <w:lang w:eastAsia="zh-CN"/>
        </w:rPr>
        <w:t>292,298,641.70</w:t>
      </w:r>
      <w:r>
        <w:rPr>
          <w:rFonts w:hint="eastAsia" w:ascii="Times New Roman" w:hAnsi="Times New Roman" w:eastAsia="仿宋_GB2312" w:cs="仿宋_GB2312"/>
          <w:kern w:val="0"/>
          <w:sz w:val="30"/>
          <w:szCs w:val="30"/>
          <w:highlight w:val="none"/>
        </w:rPr>
        <w:t>元，与</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年度相比，收、支总计各</w:t>
      </w:r>
      <w:r>
        <w:rPr>
          <w:rFonts w:hint="eastAsia" w:ascii="Times New Roman" w:hAnsi="Times New Roman" w:eastAsia="仿宋_GB2312" w:cs="仿宋_GB2312"/>
          <w:sz w:val="30"/>
          <w:szCs w:val="30"/>
          <w:highlight w:val="none"/>
          <w:lang w:eastAsia="zh-CN"/>
        </w:rPr>
        <w:t>增加37,044,343.35</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增长14.51</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贷款项目收支及教师的横项课题收支增加。</w:t>
      </w:r>
    </w:p>
    <w:p w14:paraId="5B471BC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2144454D">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天津轻工职业技术学院</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288,130,474.81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增长37,148,557.37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贷款项目收入及教师的横项课题收入增加。</w:t>
      </w:r>
    </w:p>
    <w:p w14:paraId="57778BCA">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201,347,198.39</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69.88</w:t>
      </w:r>
      <w:r>
        <w:rPr>
          <w:rFonts w:hint="eastAsia" w:ascii="Times New Roman" w:hAnsi="Times New Roman" w:eastAsia="宋体" w:cs="Times New Roman"/>
          <w:sz w:val="30"/>
          <w:szCs w:val="30"/>
          <w:highlight w:val="none"/>
          <w:lang w:eastAsia="zh-CN"/>
        </w:rPr>
        <w:t>%；</w:t>
      </w:r>
    </w:p>
    <w:p w14:paraId="00E6BC15">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48,500,000.00元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16.83%；</w:t>
      </w:r>
    </w:p>
    <w:p w14:paraId="3960B31B">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5,343,300.00元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1.85%；</w:t>
      </w:r>
    </w:p>
    <w:p w14:paraId="6526FEF5">
      <w:pPr>
        <w:autoSpaceDE w:val="0"/>
        <w:autoSpaceDN w:val="0"/>
        <w:adjustRightInd w:val="0"/>
        <w:spacing w:line="600" w:lineRule="exact"/>
        <w:ind w:firstLine="600"/>
        <w:jc w:val="left"/>
        <w:rPr>
          <w:rFonts w:ascii="Times New Roman" w:hAnsi="Times New Roman" w:eastAsia="仿宋_GB2312" w:cs="仿宋_GB2312"/>
          <w:sz w:val="30"/>
          <w:szCs w:val="30"/>
          <w:highlight w:val="none"/>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32,939,976.42元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11.43%。</w:t>
      </w:r>
    </w:p>
    <w:p w14:paraId="6CD295A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6C666338">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天津轻工职业技术学院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292,298,641.70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37,044,343.35</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贷款项目支出及教师的横项课题支出增加。</w:t>
      </w:r>
    </w:p>
    <w:p w14:paraId="45A13E54">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209,665,385.40元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71.73</w:t>
      </w:r>
      <w:r>
        <w:rPr>
          <w:rFonts w:hint="eastAsia" w:ascii="Times New Roman" w:hAnsi="Times New Roman" w:eastAsia="仿宋_GB2312" w:cs="仿宋_GB2312"/>
          <w:sz w:val="30"/>
          <w:szCs w:val="30"/>
          <w:highlight w:val="none"/>
          <w:lang w:eastAsia="zh-CN"/>
        </w:rPr>
        <w:t>%；</w:t>
      </w:r>
    </w:p>
    <w:p w14:paraId="23C41C65">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82,633,256.30元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占28.27%。</w:t>
      </w:r>
    </w:p>
    <w:p w14:paraId="46B8479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71C030D3">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天津轻工职业技术学院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201,347,198.39</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20,120,948.39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11.1</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财政拨款项目增加。</w:t>
      </w:r>
    </w:p>
    <w:p w14:paraId="2736561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五、一般公共预算财政拨款支出决算情况说明</w:t>
      </w:r>
    </w:p>
    <w:p w14:paraId="05113226">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50AAA695">
      <w:pPr>
        <w:autoSpaceDE w:val="0"/>
        <w:autoSpaceDN w:val="0"/>
        <w:adjustRightInd w:val="0"/>
        <w:spacing w:line="360" w:lineRule="auto"/>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天津轻工职业技术学院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年度部门决算一般公共预算财政拨款支出</w:t>
      </w:r>
      <w:r>
        <w:rPr>
          <w:rFonts w:hint="eastAsia" w:ascii="Times New Roman" w:hAnsi="Times New Roman" w:eastAsia="仿宋_GB2312" w:cs="仿宋_GB2312"/>
          <w:sz w:val="30"/>
          <w:szCs w:val="30"/>
          <w:highlight w:val="none"/>
          <w:lang w:val="zh-CN"/>
        </w:rPr>
        <w:t>合</w:t>
      </w:r>
      <w:r>
        <w:rPr>
          <w:rFonts w:hint="eastAsia" w:ascii="Times New Roman" w:hAnsi="Times New Roman" w:eastAsia="仿宋_GB2312" w:cs="仿宋_GB2312"/>
          <w:sz w:val="30"/>
          <w:szCs w:val="30"/>
          <w:highlight w:val="none"/>
        </w:rPr>
        <w:t>计</w:t>
      </w:r>
      <w:r>
        <w:rPr>
          <w:rFonts w:hint="eastAsia" w:ascii="Times New Roman" w:hAnsi="Times New Roman" w:eastAsia="仿宋_GB2312" w:cs="Times New Roman"/>
          <w:sz w:val="30"/>
          <w:szCs w:val="30"/>
          <w:highlight w:val="none"/>
          <w:lang w:eastAsia="zh-CN"/>
        </w:rPr>
        <w:t>201,347,198.39</w:t>
      </w:r>
      <w:r>
        <w:rPr>
          <w:rFonts w:hint="eastAsia" w:ascii="Times New Roman" w:hAnsi="Times New Roman" w:eastAsia="仿宋_GB2312" w:cs="仿宋_GB2312"/>
          <w:sz w:val="30"/>
          <w:szCs w:val="30"/>
          <w:highlight w:val="none"/>
        </w:rPr>
        <w:t>元，占本年支出合计的</w:t>
      </w:r>
      <w:r>
        <w:rPr>
          <w:rFonts w:hint="eastAsia" w:ascii="Times New Roman" w:hAnsi="Times New Roman" w:eastAsia="仿宋_GB2312" w:cs="Times New Roman"/>
          <w:sz w:val="30"/>
          <w:szCs w:val="30"/>
          <w:highlight w:val="none"/>
          <w:lang w:eastAsia="zh-CN"/>
        </w:rPr>
        <w:t>68.88</w:t>
      </w:r>
      <w:r>
        <w:rPr>
          <w:rFonts w:hint="eastAsia" w:ascii="Times New Roman" w:hAnsi="Times New Roman" w:eastAsia="宋体" w:cs="Times New Roman"/>
          <w:sz w:val="30"/>
          <w:szCs w:val="30"/>
          <w:highlight w:val="none"/>
          <w:lang w:eastAsia="zh-CN"/>
        </w:rPr>
        <w:t>%</w:t>
      </w:r>
      <w:r>
        <w:rPr>
          <w:rFonts w:hint="eastAsia" w:ascii="Times New Roman" w:hAnsi="Times New Roman" w:eastAsia="仿宋_GB2312" w:cs="仿宋_GB2312"/>
          <w:sz w:val="30"/>
          <w:szCs w:val="30"/>
          <w:highlight w:val="none"/>
        </w:rPr>
        <w:t>，与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eastAsia="仿宋_GB2312"/>
          <w:sz w:val="30"/>
          <w:szCs w:val="30"/>
          <w:highlight w:val="none"/>
        </w:rPr>
        <w:t>一般公共预算财政拨款支出</w:t>
      </w:r>
      <w:r>
        <w:rPr>
          <w:rFonts w:hint="eastAsia" w:eastAsia="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20,120,948.39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11.1</w:t>
      </w:r>
      <w:r>
        <w:rPr>
          <w:rFonts w:hint="eastAsia" w:ascii="Times New Roman" w:hAnsi="Times New Roman" w:eastAsia="宋体"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财政拨款项目增加。</w:t>
      </w:r>
    </w:p>
    <w:p w14:paraId="2C721810">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084F863F">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201,347,198.39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教育支出187,697,198.39元，占93.22%；</w:t>
      </w:r>
    </w:p>
    <w:p w14:paraId="63771702">
      <w:pPr>
        <w:autoSpaceDE w:val="0"/>
        <w:autoSpaceDN w:val="0"/>
        <w:adjustRightInd w:val="0"/>
        <w:spacing w:line="600" w:lineRule="exact"/>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社会保障和就业支出8,304,000元，占4.12%；</w:t>
      </w:r>
    </w:p>
    <w:p w14:paraId="5B18AE8F">
      <w:pPr>
        <w:autoSpaceDE w:val="0"/>
        <w:autoSpaceDN w:val="0"/>
        <w:adjustRightInd w:val="0"/>
        <w:spacing w:line="600" w:lineRule="exact"/>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卫生健康支出5,346,000元，占2.66%。</w:t>
      </w:r>
    </w:p>
    <w:p w14:paraId="69B0AAE7">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40B01388">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194,706,050.00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201,347,198.39</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103.41%</w:t>
      </w:r>
      <w:r>
        <w:rPr>
          <w:rFonts w:hint="eastAsia" w:ascii="Times New Roman" w:hAnsi="Times New Roman" w:eastAsia="仿宋_GB2312" w:cs="仿宋_GB2312"/>
          <w:kern w:val="0"/>
          <w:sz w:val="30"/>
          <w:szCs w:val="30"/>
          <w:highlight w:val="none"/>
        </w:rPr>
        <w:t>。其中：</w:t>
      </w:r>
    </w:p>
    <w:p w14:paraId="3C5722EE">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highlight w:val="none"/>
          <w:lang w:eastAsia="zh-CN"/>
        </w:rPr>
        <w:t>1.</w:t>
      </w:r>
      <w:r>
        <w:rPr>
          <w:rFonts w:hint="eastAsia" w:ascii="Times New Roman" w:hAnsi="Times New Roman" w:eastAsia="仿宋_GB2312" w:cs="仿宋_GB2312"/>
          <w:sz w:val="30"/>
          <w:szCs w:val="30"/>
        </w:rPr>
        <w:t>教育支出(类)职业教育(款)高等职业教育（项）</w:t>
      </w:r>
      <w:r>
        <w:rPr>
          <w:rFonts w:hint="eastAsia" w:ascii="Times New Roman" w:hAnsi="Times New Roman" w:eastAsia="仿宋_GB2312" w:cs="仿宋_GB2312"/>
          <w:sz w:val="30"/>
          <w:szCs w:val="30"/>
          <w:highlight w:val="none"/>
          <w:lang w:eastAsia="zh-CN"/>
        </w:rPr>
        <w:t>年初预算为181,056,050元，支出决算为187,697,198.39元，完成年初预算的103.67%，决算数大于年初预算数的主要原因：年中追加项目拨款。
</w:t>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rPr>
        <w:t>2.社会保障和就业支出(类)行政事业单位养老支出(款)机关事业单位基本养老保险缴费支出(项)年初预算为5</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536</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w:t>
      </w:r>
      <w:r>
        <w:rPr>
          <w:rFonts w:hint="eastAsia" w:ascii="Times New Roman" w:hAnsi="Times New Roman" w:eastAsia="仿宋_GB2312" w:cs="仿宋_GB2312"/>
          <w:sz w:val="30"/>
          <w:szCs w:val="30"/>
          <w:lang w:val="en-US" w:eastAsia="zh-CN"/>
        </w:rPr>
        <w:t>.00</w:t>
      </w:r>
      <w:r>
        <w:rPr>
          <w:rFonts w:hint="eastAsia" w:ascii="Times New Roman" w:hAnsi="Times New Roman" w:eastAsia="仿宋_GB2312" w:cs="仿宋_GB2312"/>
          <w:sz w:val="30"/>
          <w:szCs w:val="30"/>
        </w:rPr>
        <w:t>元，支出决算为5</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536</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w:t>
      </w:r>
      <w:r>
        <w:rPr>
          <w:rFonts w:hint="eastAsia" w:ascii="Times New Roman" w:hAnsi="Times New Roman" w:eastAsia="仿宋_GB2312" w:cs="仿宋_GB2312"/>
          <w:sz w:val="30"/>
          <w:szCs w:val="30"/>
          <w:lang w:val="en-US" w:eastAsia="zh-CN"/>
        </w:rPr>
        <w:t>.00</w:t>
      </w:r>
      <w:r>
        <w:rPr>
          <w:rFonts w:hint="eastAsia" w:ascii="Times New Roman" w:hAnsi="Times New Roman" w:eastAsia="仿宋_GB2312" w:cs="仿宋_GB2312"/>
          <w:sz w:val="30"/>
          <w:szCs w:val="30"/>
        </w:rPr>
        <w:t>元，完成年初预算的100%</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决算数等于年初预算数。</w:t>
      </w:r>
    </w:p>
    <w:p w14:paraId="058860A1">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3.社会保障和就业支出(类)行政事业单位养老支出(款)机关事业单位职业年金缴费支出(项)年初预算数为2</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768</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w:t>
      </w:r>
      <w:r>
        <w:rPr>
          <w:rFonts w:hint="eastAsia" w:ascii="Times New Roman" w:hAnsi="Times New Roman" w:eastAsia="仿宋_GB2312" w:cs="仿宋_GB2312"/>
          <w:sz w:val="30"/>
          <w:szCs w:val="30"/>
          <w:lang w:val="en-US" w:eastAsia="zh-CN"/>
        </w:rPr>
        <w:t>.00</w:t>
      </w:r>
      <w:r>
        <w:rPr>
          <w:rFonts w:hint="eastAsia" w:ascii="Times New Roman" w:hAnsi="Times New Roman" w:eastAsia="仿宋_GB2312" w:cs="仿宋_GB2312"/>
          <w:sz w:val="30"/>
          <w:szCs w:val="30"/>
        </w:rPr>
        <w:t>元，支出决算为2</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768</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w:t>
      </w:r>
      <w:r>
        <w:rPr>
          <w:rFonts w:hint="eastAsia" w:ascii="Times New Roman" w:hAnsi="Times New Roman" w:eastAsia="仿宋_GB2312" w:cs="仿宋_GB2312"/>
          <w:sz w:val="30"/>
          <w:szCs w:val="30"/>
          <w:lang w:val="en-US" w:eastAsia="zh-CN"/>
        </w:rPr>
        <w:t>.00</w:t>
      </w:r>
      <w:r>
        <w:rPr>
          <w:rFonts w:hint="eastAsia" w:ascii="Times New Roman" w:hAnsi="Times New Roman" w:eastAsia="仿宋_GB2312" w:cs="仿宋_GB2312"/>
          <w:sz w:val="30"/>
          <w:szCs w:val="30"/>
        </w:rPr>
        <w:t>元，完成年初预算的100%</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决算数等于年初预算数。</w:t>
      </w:r>
    </w:p>
    <w:p w14:paraId="0D5EF362">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4.卫生健康支出(类)行政事业单位医疗(款)事业单位医疗(项)年初预算为3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633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000.00元，支出决算为3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633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000.00元，完成年初预算的100%</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决算数等于年初预算数。</w:t>
      </w:r>
    </w:p>
    <w:p w14:paraId="3C6A785F">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5. 卫生健康支出(类)行政事业单位医疗(款)其他行政事业单位医疗支出(项)年初预算数为1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713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000.00元，支出决算为1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713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000.00元，完成年初预算的100%</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决算数等于年初预算数。</w:t>
      </w:r>
    </w:p>
    <w:p w14:paraId="4A72B45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3E70452B">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天津轻工职业技术学院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154,668,148.39</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3,378,148.39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学生人数增加，教学成本增加。</w:t>
      </w:r>
      <w:r>
        <w:rPr>
          <w:rFonts w:hint="eastAsia" w:ascii="Times New Roman" w:hAnsi="Times New Roman" w:eastAsia="仿宋_GB2312" w:cs="仿宋_GB2312"/>
          <w:kern w:val="0"/>
          <w:sz w:val="30"/>
          <w:szCs w:val="30"/>
          <w:highlight w:val="none"/>
        </w:rPr>
        <w:t>其中：</w:t>
      </w:r>
    </w:p>
    <w:p w14:paraId="52353B99">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121,402,000.00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基本工资、津贴补贴、绩效工资、机关事业单位基本养老保险缴费、职业年金缴费、职工基本医疗保险缴费、其他社会保障缴费、住房公积金、医疗费、退休费、抚恤金、其他对个人和家庭的补助。</w:t>
      </w:r>
    </w:p>
    <w:p w14:paraId="4A74B72D">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33,266,148.39</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办公费、印刷费、水费、电费、邮电费、取暖费、物业管理费、维修(护)费、租赁费、专用材料费、专用燃料费、委托业务费、工会经费、其他商品和服务支出。</w:t>
      </w:r>
    </w:p>
    <w:p w14:paraId="0314AD3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111973F3">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天津轻工职业技术学院2023年度无政府性基金预算财政拨款收入、支出和结转结余。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2ABC7D2C">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4A7F228B">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天津轻工职业技术学院2023年度无国有资本经营预算财政拨款收入、支出和结转结余。</w:t>
      </w:r>
    </w:p>
    <w:p w14:paraId="33D1DFB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4A4D0AFF">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75661F3F">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预算数，且与上年数持平的主要原因是：</w:t>
      </w:r>
      <w:r>
        <w:rPr>
          <w:rFonts w:hint="eastAsia" w:ascii="Times New Roman" w:hAnsi="Times New Roman" w:eastAsia="仿宋_GB2312" w:cs="仿宋_GB2312"/>
          <w:sz w:val="30"/>
          <w:szCs w:val="30"/>
        </w:rPr>
        <w:t>本年度未用财政拨款经费列支“三公”经费。</w:t>
      </w:r>
    </w:p>
    <w:p w14:paraId="38C85E43">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3D89A4F1">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预算数，且与上年数持平的主要原因是：</w:t>
      </w:r>
      <w:r>
        <w:rPr>
          <w:rFonts w:hint="eastAsia" w:ascii="Times New Roman" w:hAnsi="Times New Roman" w:eastAsia="仿宋_GB2312" w:cs="仿宋_GB2312"/>
          <w:sz w:val="30"/>
          <w:szCs w:val="30"/>
        </w:rPr>
        <w:t>本年度未用财政拨款经费列支</w:t>
      </w:r>
      <w:r>
        <w:rPr>
          <w:rFonts w:hint="eastAsia" w:ascii="Times New Roman" w:hAnsi="Times New Roman" w:eastAsia="仿宋_GB2312" w:cs="仿宋_GB2312"/>
          <w:kern w:val="0"/>
          <w:sz w:val="30"/>
          <w:szCs w:val="30"/>
        </w:rPr>
        <w:t>因公出国（境）费</w:t>
      </w:r>
      <w:r>
        <w:rPr>
          <w:rFonts w:hint="eastAsia" w:ascii="Times New Roman" w:hAnsi="Times New Roman" w:eastAsia="仿宋_GB2312" w:cs="仿宋_GB2312"/>
          <w:sz w:val="30"/>
          <w:szCs w:val="30"/>
        </w:rPr>
        <w:t>。</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2C9070F7">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预算数，且与上年数持平的主要原因是：</w:t>
      </w:r>
      <w:r>
        <w:rPr>
          <w:rFonts w:hint="eastAsia" w:ascii="Times New Roman" w:hAnsi="Times New Roman" w:eastAsia="仿宋_GB2312" w:cs="仿宋_GB2312"/>
          <w:sz w:val="30"/>
          <w:szCs w:val="30"/>
        </w:rPr>
        <w:t>本年度未用财政拨款经费列支</w:t>
      </w:r>
      <w:r>
        <w:rPr>
          <w:rFonts w:hint="eastAsia" w:ascii="Times New Roman" w:hAnsi="Times New Roman" w:eastAsia="仿宋_GB2312" w:cs="仿宋_GB2312"/>
          <w:kern w:val="0"/>
          <w:sz w:val="30"/>
          <w:szCs w:val="30"/>
        </w:rPr>
        <w:t>公务用车购置及运行维护费。其中：</w:t>
      </w:r>
    </w:p>
    <w:p w14:paraId="368D3296">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预算数，且与上年数持平的主要原因是：</w:t>
      </w:r>
      <w:r>
        <w:rPr>
          <w:rFonts w:hint="eastAsia" w:ascii="Times New Roman" w:hAnsi="Times New Roman" w:eastAsia="仿宋_GB2312" w:cs="仿宋_GB2312"/>
          <w:sz w:val="30"/>
          <w:szCs w:val="30"/>
        </w:rPr>
        <w:t>本年度未用财政拨款经费列支</w:t>
      </w:r>
      <w:r>
        <w:rPr>
          <w:rFonts w:hint="eastAsia" w:ascii="Times New Roman" w:hAnsi="Times New Roman" w:eastAsia="仿宋_GB2312" w:cs="仿宋_GB2312"/>
          <w:kern w:val="0"/>
          <w:sz w:val="30"/>
          <w:szCs w:val="30"/>
        </w:rPr>
        <w:t>公务用车运行维护费。截至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2AE9A088">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预算数，且与上年数持平的主要原因是：</w:t>
      </w:r>
      <w:r>
        <w:rPr>
          <w:rFonts w:hint="eastAsia" w:ascii="Times New Roman" w:hAnsi="Times New Roman" w:eastAsia="仿宋_GB2312" w:cs="仿宋_GB2312"/>
          <w:sz w:val="30"/>
          <w:szCs w:val="30"/>
        </w:rPr>
        <w:t>本年度未用财政拨款经费列支</w:t>
      </w:r>
      <w:r>
        <w:rPr>
          <w:rFonts w:hint="eastAsia" w:ascii="Times New Roman" w:hAnsi="Times New Roman" w:eastAsia="仿宋_GB2312" w:cs="仿宋_GB2312"/>
          <w:kern w:val="0"/>
          <w:sz w:val="30"/>
          <w:szCs w:val="30"/>
        </w:rPr>
        <w:t>公务用车购置费。</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35F37C4D">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预算数，且与上年数持平的主要原因是：</w:t>
      </w:r>
      <w:r>
        <w:rPr>
          <w:rFonts w:hint="eastAsia" w:ascii="Times New Roman" w:hAnsi="Times New Roman" w:eastAsia="仿宋_GB2312" w:cs="仿宋_GB2312"/>
          <w:sz w:val="30"/>
          <w:szCs w:val="30"/>
        </w:rPr>
        <w:t>本年度未用财政拨款经费列支</w:t>
      </w:r>
      <w:r>
        <w:rPr>
          <w:rFonts w:hint="eastAsia" w:ascii="Times New Roman" w:hAnsi="Times New Roman" w:eastAsia="仿宋_GB2312" w:cs="仿宋_GB2312"/>
          <w:kern w:val="0"/>
          <w:sz w:val="30"/>
          <w:szCs w:val="30"/>
        </w:rPr>
        <w:t>公务接待费。</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550723E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6B9D51F2">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天津轻工职业技术学院2023年度无机关运行经费</w:t>
      </w:r>
    </w:p>
    <w:p w14:paraId="43AD988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7E957CC3">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天津轻工职业技术学院</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51,003,319.93</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39,995,729.00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11,007,590.93</w:t>
      </w:r>
      <w:r>
        <w:rPr>
          <w:rFonts w:hint="eastAsia" w:ascii="Times New Roman" w:hAnsi="Times New Roman" w:eastAsia="仿宋_GB2312" w:cs="仿宋_GB2312"/>
          <w:color w:val="000000"/>
          <w:kern w:val="0"/>
          <w:sz w:val="30"/>
          <w:szCs w:val="30"/>
          <w:highlight w:val="none"/>
        </w:rPr>
        <w:t>元。</w:t>
      </w:r>
      <w:bookmarkStart w:id="0" w:name="_GoBack"/>
      <w:r>
        <w:rPr>
          <w:rFonts w:hint="eastAsia" w:ascii="Times New Roman" w:hAnsi="Times New Roman" w:eastAsia="仿宋_GB2312" w:cs="仿宋_GB2312"/>
          <w:color w:val="000000"/>
          <w:kern w:val="0"/>
          <w:sz w:val="30"/>
          <w:szCs w:val="30"/>
          <w:highlight w:val="none"/>
        </w:rPr>
        <w:t>授予中小企业合同金额</w:t>
      </w:r>
      <w:r>
        <w:rPr>
          <w:rFonts w:hint="eastAsia" w:ascii="Times New Roman" w:hAnsi="Times New Roman" w:eastAsia="仿宋_GB2312" w:cs="Times New Roman"/>
          <w:kern w:val="0"/>
          <w:sz w:val="30"/>
          <w:szCs w:val="30"/>
          <w:highlight w:val="none"/>
          <w:lang w:val="en-US" w:eastAsia="zh-CN"/>
        </w:rPr>
        <w:t>19,174,880.93</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37.6%</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color w:val="000000"/>
          <w:kern w:val="0"/>
          <w:sz w:val="30"/>
          <w:szCs w:val="30"/>
          <w:highlight w:val="none"/>
        </w:rPr>
        <w:t>其</w:t>
      </w:r>
      <w:bookmarkEnd w:id="0"/>
      <w:r>
        <w:rPr>
          <w:rFonts w:hint="eastAsia" w:ascii="Times New Roman" w:hAnsi="Times New Roman" w:eastAsia="仿宋_GB2312" w:cs="仿宋_GB2312"/>
          <w:color w:val="000000"/>
          <w:kern w:val="0"/>
          <w:sz w:val="30"/>
          <w:szCs w:val="30"/>
          <w:highlight w:val="none"/>
        </w:rPr>
        <w:t>中：授予小微企业合同金额</w:t>
      </w:r>
      <w:r>
        <w:rPr>
          <w:rFonts w:hint="eastAsia" w:ascii="Times New Roman" w:hAnsi="Times New Roman" w:eastAsia="仿宋_GB2312" w:cs="Times New Roman"/>
          <w:kern w:val="0"/>
          <w:sz w:val="30"/>
          <w:szCs w:val="30"/>
          <w:highlight w:val="none"/>
          <w:lang w:eastAsia="zh-CN"/>
        </w:rPr>
        <w:t>2,155,115.00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4.23%</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val="en-US" w:eastAsia="zh-CN"/>
        </w:rPr>
        <w:t>25.89</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val="en-US" w:eastAsia="zh-CN"/>
        </w:rPr>
        <w:t>80.12</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14:paraId="6549436B">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5697862C">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天津轻工职业技术学院</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13</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13</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sz w:val="30"/>
          <w:szCs w:val="30"/>
          <w:highlight w:val="none"/>
          <w:lang w:eastAsia="zh-CN"/>
        </w:rPr>
        <w:t>普通轿车</w:t>
      </w:r>
      <w:r>
        <w:rPr>
          <w:rFonts w:hint="eastAsia" w:ascii="Times New Roman" w:hAnsi="Times New Roman" w:eastAsia="仿宋_GB2312" w:cs="仿宋_GB2312"/>
          <w:kern w:val="0"/>
          <w:sz w:val="30"/>
          <w:szCs w:val="30"/>
          <w:highlight w:val="none"/>
          <w:lang w:val="zh-CN"/>
        </w:rPr>
        <w:t>。</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12</w:t>
      </w:r>
      <w:r>
        <w:rPr>
          <w:rFonts w:hint="eastAsia" w:ascii="Times New Roman" w:hAnsi="Times New Roman" w:eastAsia="仿宋_GB2312" w:cs="仿宋_GB2312"/>
          <w:kern w:val="0"/>
          <w:sz w:val="30"/>
          <w:szCs w:val="30"/>
          <w:highlight w:val="none"/>
        </w:rPr>
        <w:t>台（套）。</w:t>
      </w:r>
    </w:p>
    <w:p w14:paraId="5A469CC9">
      <w:pPr>
        <w:autoSpaceDE w:val="0"/>
        <w:autoSpaceDN w:val="0"/>
        <w:adjustRightInd w:val="0"/>
        <w:spacing w:line="600" w:lineRule="exact"/>
        <w:ind w:firstLine="600"/>
        <w:jc w:val="left"/>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7E17F7C4">
      <w:pPr>
        <w:autoSpaceDE w:val="0"/>
        <w:autoSpaceDN w:val="0"/>
        <w:adjustRightInd w:val="0"/>
        <w:spacing w:line="600" w:lineRule="exact"/>
        <w:ind w:firstLine="600"/>
        <w:jc w:val="left"/>
        <w:rPr>
          <w:rFonts w:hint="eastAsia" w:ascii="Times New Roman" w:hAnsi="Times New Roman" w:eastAsia="仿宋_GB2312" w:cs="仿宋_GB2312"/>
          <w:sz w:val="30"/>
          <w:szCs w:val="30"/>
        </w:rPr>
      </w:pPr>
      <w:r>
        <w:rPr>
          <w:rFonts w:hint="eastAsia" w:ascii="Times New Roman" w:hAnsi="Times New Roman" w:eastAsia="仿宋_GB2312" w:cs="仿宋_GB2312"/>
          <w:kern w:val="0"/>
          <w:sz w:val="30"/>
          <w:szCs w:val="30"/>
          <w:highlight w:val="none"/>
        </w:rPr>
        <w:t>根据预算绩效管理要求，</w:t>
      </w:r>
      <w:r>
        <w:rPr>
          <w:rFonts w:hint="eastAsia" w:ascii="Times New Roman" w:hAnsi="Times New Roman" w:eastAsia="仿宋_GB2312" w:cs="仿宋_GB2312"/>
          <w:color w:val="000000"/>
          <w:kern w:val="0"/>
          <w:sz w:val="30"/>
          <w:szCs w:val="30"/>
          <w:highlight w:val="none"/>
          <w:lang w:eastAsia="zh-CN"/>
        </w:rPr>
        <w:t>天津轻工职业技术学院</w:t>
      </w: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年度已对</w:t>
      </w:r>
      <w:r>
        <w:rPr>
          <w:rFonts w:hint="eastAsia" w:ascii="Times New Roman" w:hAnsi="Times New Roman" w:eastAsia="仿宋_GB2312" w:cs="仿宋_GB2312"/>
          <w:sz w:val="30"/>
          <w:szCs w:val="30"/>
          <w:highlight w:val="none"/>
          <w:lang w:eastAsia="zh-CN"/>
        </w:rPr>
        <w:t>13</w:t>
      </w:r>
      <w:r>
        <w:rPr>
          <w:rFonts w:hint="eastAsia" w:ascii="Times New Roman" w:hAnsi="Times New Roman" w:eastAsia="仿宋_GB2312" w:cs="仿宋_GB2312"/>
          <w:kern w:val="0"/>
          <w:sz w:val="30"/>
          <w:szCs w:val="30"/>
          <w:highlight w:val="none"/>
        </w:rPr>
        <w:t>个市级项目开展绩效自评，涉及金额</w:t>
      </w:r>
      <w:r>
        <w:rPr>
          <w:rFonts w:hint="eastAsia" w:ascii="Times New Roman" w:hAnsi="Times New Roman" w:eastAsia="仿宋_GB2312" w:cs="仿宋_GB2312"/>
          <w:sz w:val="30"/>
          <w:szCs w:val="30"/>
          <w:highlight w:val="none"/>
          <w:lang w:eastAsia="zh-CN"/>
        </w:rPr>
        <w:t>66,520,200.00</w:t>
      </w:r>
      <w:r>
        <w:rPr>
          <w:rFonts w:hint="eastAsia" w:ascii="Times New Roman" w:hAnsi="Times New Roman" w:eastAsia="仿宋_GB2312" w:cs="仿宋_GB2312"/>
          <w:kern w:val="0"/>
          <w:sz w:val="30"/>
          <w:szCs w:val="30"/>
          <w:highlight w:val="none"/>
        </w:rPr>
        <w:t>元，自评结果已随部门决算一并公开</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sz w:val="30"/>
          <w:szCs w:val="30"/>
        </w:rPr>
        <w:t>本部门2023年度未开展部门评价。</w:t>
      </w:r>
    </w:p>
    <w:p w14:paraId="448174C6">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0AAC4EA8">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天津轻工职业技术学院2023年度不属于乡、镇、街级单位，不涉及公开2023年度教育、医疗卫生、社会保障和就业、住房保障、涉农补贴等民生支出情况。</w:t>
      </w:r>
    </w:p>
    <w:p w14:paraId="44501FB8">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p>
    <w:p w14:paraId="77B18D58">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06C2955C">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14:paraId="15ABBA67">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2907060A">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宋体" w:cs="宋体"/>
          <w:kern w:val="0"/>
          <w:sz w:val="24"/>
          <w:szCs w:val="24"/>
          <w:highlight w:val="none"/>
        </w:rPr>
        <w:t>1.</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B711020">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F565348">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0MjYyYWIxNjZkMGQwOGFmOTU4NDgzMmUxZGRmZjQ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9C14B09"/>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9B06B22"/>
    <w:rsid w:val="1A1104E0"/>
    <w:rsid w:val="1A404E9F"/>
    <w:rsid w:val="1AA54268"/>
    <w:rsid w:val="1B173F14"/>
    <w:rsid w:val="1B4641B9"/>
    <w:rsid w:val="1B520DB0"/>
    <w:rsid w:val="1B5D5A1E"/>
    <w:rsid w:val="1B7A68EC"/>
    <w:rsid w:val="1CCA277E"/>
    <w:rsid w:val="1DBB3E80"/>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AC62BA"/>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8C7B5A"/>
    <w:rsid w:val="4F167E2F"/>
    <w:rsid w:val="4F391364"/>
    <w:rsid w:val="4FA424E7"/>
    <w:rsid w:val="4FBD62FD"/>
    <w:rsid w:val="4FD337AC"/>
    <w:rsid w:val="4FE523CE"/>
    <w:rsid w:val="5236167C"/>
    <w:rsid w:val="52A37398"/>
    <w:rsid w:val="53C102A5"/>
    <w:rsid w:val="540255D9"/>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E5711"/>
    <w:rsid w:val="656942F9"/>
    <w:rsid w:val="665D659A"/>
    <w:rsid w:val="66CD08B8"/>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45A188C"/>
    <w:rsid w:val="75AB44BA"/>
    <w:rsid w:val="77B05DB7"/>
    <w:rsid w:val="78F07D11"/>
    <w:rsid w:val="79370991"/>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4759</Words>
  <Characters>5734</Characters>
  <Lines>82</Lines>
  <Paragraphs>23</Paragraphs>
  <TotalTime>5</TotalTime>
  <ScaleCrop>false</ScaleCrop>
  <LinksUpToDate>false</LinksUpToDate>
  <CharactersWithSpaces>5763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任文颖</cp:lastModifiedBy>
  <dcterms:modified xsi:type="dcterms:W3CDTF">2024-08-02T04:46:48Z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57F277B923D14B48964DE897A21A29D5_13</vt:lpwstr>
  </property>
</Properties>
</file>