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77FE0D">
      <w:pPr>
        <w:keepNext w:val="0"/>
        <w:keepLines w:val="0"/>
        <w:pageBreakBefore w:val="0"/>
        <w:widowControl/>
        <w:suppressLineNumbers w:val="0"/>
        <w:kinsoku/>
        <w:wordWrap/>
        <w:overflowPunct/>
        <w:topLinePunct w:val="0"/>
        <w:autoSpaceDE/>
        <w:autoSpaceDN/>
        <w:bidi w:val="0"/>
        <w:adjustRightInd/>
        <w:snapToGrid/>
        <w:spacing w:line="560" w:lineRule="exact"/>
        <w:jc w:val="center"/>
        <w:rPr>
          <w:rFonts w:hint="eastAsia" w:ascii="方正公文小标宋" w:hAnsi="方正公文小标宋" w:eastAsia="方正公文小标宋" w:cs="方正公文小标宋"/>
          <w:b w:val="0"/>
          <w:bCs/>
          <w:color w:val="000000"/>
          <w:spacing w:val="20"/>
          <w:kern w:val="0"/>
          <w:sz w:val="44"/>
          <w:szCs w:val="44"/>
          <w:highlight w:val="none"/>
          <w:lang w:val="en-US" w:eastAsia="zh-CN" w:bidi="ar-SA"/>
        </w:rPr>
      </w:pPr>
      <w:r>
        <w:rPr>
          <w:rFonts w:hint="eastAsia" w:ascii="方正公文小标宋" w:hAnsi="方正公文小标宋" w:eastAsia="方正公文小标宋" w:cs="方正公文小标宋"/>
          <w:b w:val="0"/>
          <w:bCs/>
          <w:color w:val="000000"/>
          <w:spacing w:val="20"/>
          <w:kern w:val="0"/>
          <w:sz w:val="44"/>
          <w:szCs w:val="44"/>
          <w:highlight w:val="none"/>
          <w:lang w:val="en-US" w:eastAsia="zh-CN" w:bidi="ar-SA"/>
        </w:rPr>
        <w:t>天津渤海轻工投资集团有限公司</w:t>
      </w:r>
    </w:p>
    <w:p w14:paraId="0D029A0A">
      <w:pPr>
        <w:keepNext w:val="0"/>
        <w:keepLines w:val="0"/>
        <w:pageBreakBefore w:val="0"/>
        <w:widowControl/>
        <w:suppressLineNumbers w:val="0"/>
        <w:kinsoku/>
        <w:wordWrap/>
        <w:overflowPunct/>
        <w:topLinePunct w:val="0"/>
        <w:autoSpaceDE/>
        <w:autoSpaceDN/>
        <w:bidi w:val="0"/>
        <w:adjustRightInd/>
        <w:snapToGrid/>
        <w:spacing w:line="560" w:lineRule="exact"/>
        <w:jc w:val="center"/>
        <w:rPr>
          <w:rFonts w:hint="default" w:ascii="Times New Roman" w:hAnsi="Times New Roman" w:eastAsia="Arial Unicode MS" w:cs="Times New Roman"/>
          <w:bCs/>
          <w:color w:val="000000"/>
          <w:spacing w:val="20"/>
          <w:kern w:val="0"/>
          <w:sz w:val="44"/>
          <w:szCs w:val="44"/>
          <w:highlight w:val="none"/>
          <w:lang w:val="en-US" w:eastAsia="zh-CN" w:bidi="ar-SA"/>
        </w:rPr>
      </w:pPr>
      <w:r>
        <w:rPr>
          <w:rFonts w:hint="eastAsia" w:ascii="方正公文小标宋" w:hAnsi="方正公文小标宋" w:eastAsia="方正公文小标宋" w:cs="方正公文小标宋"/>
          <w:b w:val="0"/>
          <w:bCs/>
          <w:color w:val="000000"/>
          <w:spacing w:val="20"/>
          <w:kern w:val="0"/>
          <w:sz w:val="44"/>
          <w:szCs w:val="44"/>
          <w:highlight w:val="none"/>
          <w:lang w:val="en-US" w:eastAsia="zh-CN" w:bidi="ar-SA"/>
        </w:rPr>
        <w:t>2025年校园招聘简章</w:t>
      </w:r>
    </w:p>
    <w:p w14:paraId="5C76BCD7">
      <w:pPr>
        <w:keepNext w:val="0"/>
        <w:keepLines w:val="0"/>
        <w:pageBreakBefore w:val="0"/>
        <w:widowControl/>
        <w:kinsoku/>
        <w:wordWrap/>
        <w:overflowPunct/>
        <w:topLinePunct w:val="0"/>
        <w:autoSpaceDE/>
        <w:autoSpaceDN/>
        <w:bidi w:val="0"/>
        <w:adjustRightInd/>
        <w:snapToGrid/>
        <w:spacing w:before="157" w:beforeLines="50" w:line="560" w:lineRule="exact"/>
        <w:ind w:firstLine="640" w:firstLineChars="200"/>
        <w:textAlignment w:val="auto"/>
        <w:rPr>
          <w:rFonts w:hint="default" w:ascii="Times New Roman" w:hAnsi="Times New Roman" w:eastAsia="黑体" w:cs="Times New Roman"/>
          <w:color w:val="000000"/>
          <w:kern w:val="2"/>
          <w:sz w:val="32"/>
          <w:szCs w:val="32"/>
          <w:highlight w:val="none"/>
          <w:lang w:val="en-US" w:eastAsia="zh-CN" w:bidi="ar-SA"/>
        </w:rPr>
      </w:pPr>
    </w:p>
    <w:p w14:paraId="5B6D9A3F">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黑体" w:cs="Times New Roman"/>
          <w:color w:val="000000"/>
          <w:kern w:val="2"/>
          <w:sz w:val="32"/>
          <w:szCs w:val="32"/>
          <w:highlight w:val="none"/>
          <w:lang w:val="en-US" w:eastAsia="zh-CN" w:bidi="ar-SA"/>
        </w:rPr>
      </w:pPr>
      <w:r>
        <w:rPr>
          <w:rFonts w:hint="default" w:ascii="Times New Roman" w:hAnsi="Times New Roman" w:eastAsia="黑体" w:cs="Times New Roman"/>
          <w:color w:val="000000"/>
          <w:kern w:val="2"/>
          <w:sz w:val="32"/>
          <w:szCs w:val="32"/>
          <w:highlight w:val="none"/>
          <w:lang w:val="en-US" w:eastAsia="zh-CN" w:bidi="ar-SA"/>
        </w:rPr>
        <w:t>一、</w:t>
      </w:r>
      <w:r>
        <w:rPr>
          <w:rFonts w:hint="eastAsia" w:eastAsia="黑体" w:cs="Times New Roman"/>
          <w:color w:val="000000"/>
          <w:kern w:val="2"/>
          <w:sz w:val="32"/>
          <w:szCs w:val="32"/>
          <w:highlight w:val="none"/>
          <w:lang w:val="en-US" w:eastAsia="zh-CN" w:bidi="ar-SA"/>
        </w:rPr>
        <w:t>集团</w:t>
      </w:r>
      <w:r>
        <w:rPr>
          <w:rFonts w:hint="default" w:ascii="Times New Roman" w:hAnsi="Times New Roman" w:eastAsia="黑体" w:cs="Times New Roman"/>
          <w:color w:val="000000"/>
          <w:kern w:val="2"/>
          <w:sz w:val="32"/>
          <w:szCs w:val="32"/>
          <w:highlight w:val="none"/>
          <w:lang w:val="en-US" w:eastAsia="zh-CN" w:bidi="ar-SA"/>
        </w:rPr>
        <w:t>简介</w:t>
      </w:r>
    </w:p>
    <w:p w14:paraId="6B9383CD">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天津渤海轻工投资集团有限公司（简称“渤轻集团”）是经市委、市政府批准，2014年由天津市一轻集团（控股）有限公司、天津市二轻集团（控股）有限公司部分优势企业重组整合成立的市管国有重要骨干企业集团，注册资本22.4亿元。</w:t>
      </w:r>
      <w:r>
        <w:rPr>
          <w:rFonts w:hint="default" w:ascii="Times New Roman" w:hAnsi="Times New Roman" w:eastAsia="仿宋_GB2312" w:cs="Times New Roman"/>
          <w:kern w:val="2"/>
          <w:sz w:val="32"/>
          <w:szCs w:val="32"/>
          <w:highlight w:val="none"/>
          <w:lang w:val="en-US" w:eastAsia="zh-CN" w:bidi="ar-SA"/>
        </w:rPr>
        <w:t>截至2024年末，资产总额67.72亿元，所属子公司31家</w:t>
      </w:r>
      <w:r>
        <w:rPr>
          <w:rFonts w:hint="eastAsia" w:ascii="Times New Roman" w:hAnsi="Times New Roman" w:eastAsia="仿宋_GB2312" w:cs="Times New Roman"/>
          <w:kern w:val="2"/>
          <w:sz w:val="32"/>
          <w:szCs w:val="32"/>
          <w:highlight w:val="none"/>
          <w:lang w:val="en-US" w:eastAsia="zh-CN" w:bidi="ar-SA"/>
        </w:rPr>
        <w:t>。</w:t>
      </w:r>
    </w:p>
    <w:p w14:paraId="63E82162">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default" w:ascii="Times New Roman" w:hAnsi="Times New Roman" w:eastAsia="仿宋_GB2312" w:cs="Times New Roman"/>
          <w:kern w:val="2"/>
          <w:sz w:val="32"/>
          <w:szCs w:val="32"/>
          <w:highlight w:val="none"/>
          <w:lang w:val="en-US" w:eastAsia="zh-CN" w:bidi="ar-SA"/>
        </w:rPr>
      </w:pPr>
      <w:r>
        <w:rPr>
          <w:rFonts w:hint="default" w:ascii="Times New Roman" w:hAnsi="Times New Roman" w:eastAsia="仿宋_GB2312" w:cs="Times New Roman"/>
          <w:kern w:val="2"/>
          <w:sz w:val="32"/>
          <w:szCs w:val="32"/>
          <w:highlight w:val="none"/>
          <w:lang w:val="en-US" w:eastAsia="zh-CN" w:bidi="ar-SA"/>
        </w:rPr>
        <w:t>现有飞鸽、山海关、万紫千红、春合等“8+16”个中华、津门老字号，数量位居国资系统首位，是最宝贵的战略资源。</w:t>
      </w:r>
      <w:r>
        <w:rPr>
          <w:rFonts w:hint="eastAsia" w:ascii="Times New Roman" w:hAnsi="Times New Roman" w:eastAsia="仿宋_GB2312" w:cs="Times New Roman"/>
          <w:kern w:val="2"/>
          <w:sz w:val="32"/>
          <w:szCs w:val="32"/>
          <w:highlight w:val="none"/>
          <w:lang w:val="en-US" w:eastAsia="zh-CN" w:bidi="ar-SA"/>
        </w:rPr>
        <w:t>经过努力，</w:t>
      </w:r>
      <w:r>
        <w:rPr>
          <w:rFonts w:hint="default" w:ascii="Times New Roman" w:hAnsi="Times New Roman" w:eastAsia="仿宋_GB2312" w:cs="Times New Roman"/>
          <w:kern w:val="2"/>
          <w:sz w:val="32"/>
          <w:szCs w:val="32"/>
          <w:highlight w:val="none"/>
          <w:lang w:val="en-US" w:eastAsia="zh-CN" w:bidi="ar-SA"/>
        </w:rPr>
        <w:t>打造了以金鸡鸣园、蓝天医疗器械产业园、丰田汽车产业园等为代表的一批“小而美”的优质产业、民生和文化传承类项目。现有正常运营合资合作企业25户，包括中粮集团、日本京瓷株式会社、韩国LG电子等世界500强企业，放大了国有资本功能，服务了全市经济社会发展大局。</w:t>
      </w:r>
    </w:p>
    <w:p w14:paraId="0E02A45B">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黑体" w:cs="Times New Roman"/>
          <w:color w:val="000000"/>
          <w:kern w:val="2"/>
          <w:sz w:val="32"/>
          <w:szCs w:val="32"/>
          <w:highlight w:val="none"/>
          <w:lang w:val="en-US" w:eastAsia="zh-CN" w:bidi="ar-SA"/>
        </w:rPr>
      </w:pPr>
      <w:r>
        <w:rPr>
          <w:rFonts w:hint="default" w:ascii="Times New Roman" w:hAnsi="Times New Roman" w:eastAsia="黑体" w:cs="Times New Roman"/>
          <w:color w:val="000000"/>
          <w:kern w:val="2"/>
          <w:sz w:val="32"/>
          <w:szCs w:val="32"/>
          <w:highlight w:val="none"/>
          <w:lang w:val="en-US" w:eastAsia="zh-CN" w:bidi="ar-SA"/>
        </w:rPr>
        <w:t>二、</w:t>
      </w:r>
      <w:r>
        <w:rPr>
          <w:rFonts w:hint="eastAsia" w:eastAsia="黑体" w:cs="Times New Roman"/>
          <w:color w:val="000000"/>
          <w:kern w:val="2"/>
          <w:sz w:val="32"/>
          <w:szCs w:val="32"/>
          <w:highlight w:val="none"/>
          <w:lang w:val="en-US" w:eastAsia="zh-CN" w:bidi="ar-SA"/>
        </w:rPr>
        <w:t>报名基本条件</w:t>
      </w:r>
    </w:p>
    <w:p w14:paraId="3C3A7879">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（一）国内高等学校和国（境）外正规高等学校本科及以上学历的应届毕业生，包含2023、2024年毕业未曾就业人员。</w:t>
      </w:r>
    </w:p>
    <w:p w14:paraId="57FDAF86">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（二）拥护中华人民共和国宪法，拥护中国共产党领导和社会主义制度。</w:t>
      </w:r>
    </w:p>
    <w:p w14:paraId="1F63C12B">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（三）政治素质好，为人诚信，无违法违纪情况，身心健康。</w:t>
      </w:r>
    </w:p>
    <w:p w14:paraId="2187750D">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四）学习成绩优良，按时取得毕业证、学位证，海外学历须获得教育部留学服务中心出具的学历学位认证。所有应聘人员须在2025年7月31日前取得上述证书等，并能提供报名的荣誉、奖励等证明材料。（在读非2025届毕业研究生不能以本科学历应聘，其他情形以此类推）。</w:t>
      </w:r>
    </w:p>
    <w:p w14:paraId="4F9099C0">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default"/>
          <w:highlight w:val="none"/>
          <w:lang w:val="en-US" w:eastAsia="zh-CN"/>
        </w:rPr>
      </w:pPr>
      <w:r>
        <w:rPr>
          <w:rFonts w:hint="eastAsia" w:ascii="Times New Roman" w:hAnsi="Times New Roman" w:eastAsia="仿宋_GB2312" w:cs="Times New Roman"/>
          <w:kern w:val="2"/>
          <w:sz w:val="32"/>
          <w:szCs w:val="32"/>
          <w:highlight w:val="none"/>
          <w:lang w:val="en-US" w:eastAsia="zh-CN" w:bidi="ar-SA"/>
        </w:rPr>
        <w:t>（五）符合应聘岗位所要求的学历、专业、能力及其他资格条件。</w:t>
      </w:r>
    </w:p>
    <w:p w14:paraId="1F9C67C0">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黑体" w:cs="Times New Roman"/>
          <w:color w:val="000000"/>
          <w:kern w:val="2"/>
          <w:sz w:val="32"/>
          <w:szCs w:val="32"/>
          <w:highlight w:val="none"/>
          <w:lang w:val="en-US" w:eastAsia="zh-CN" w:bidi="ar-SA"/>
        </w:rPr>
      </w:pPr>
      <w:r>
        <w:rPr>
          <w:rFonts w:hint="default" w:ascii="Times New Roman" w:hAnsi="Times New Roman" w:eastAsia="黑体" w:cs="Times New Roman"/>
          <w:color w:val="000000"/>
          <w:kern w:val="2"/>
          <w:sz w:val="32"/>
          <w:szCs w:val="32"/>
          <w:highlight w:val="none"/>
          <w:lang w:val="en-US" w:eastAsia="zh-CN" w:bidi="ar-SA"/>
        </w:rPr>
        <w:t>三、招聘</w:t>
      </w:r>
      <w:r>
        <w:rPr>
          <w:rFonts w:hint="eastAsia" w:ascii="Times New Roman" w:hAnsi="Times New Roman" w:eastAsia="黑体" w:cs="Times New Roman"/>
          <w:color w:val="000000"/>
          <w:kern w:val="2"/>
          <w:sz w:val="32"/>
          <w:szCs w:val="32"/>
          <w:highlight w:val="none"/>
          <w:lang w:val="en-US" w:eastAsia="zh-CN" w:bidi="ar-SA"/>
        </w:rPr>
        <w:t>单位</w:t>
      </w:r>
      <w:r>
        <w:rPr>
          <w:rFonts w:hint="eastAsia" w:eastAsia="黑体" w:cs="Times New Roman"/>
          <w:color w:val="000000"/>
          <w:kern w:val="2"/>
          <w:sz w:val="32"/>
          <w:szCs w:val="32"/>
          <w:highlight w:val="none"/>
          <w:lang w:val="en-US" w:eastAsia="zh-CN" w:bidi="ar-SA"/>
        </w:rPr>
        <w:t>及岗位</w:t>
      </w:r>
    </w:p>
    <w:p w14:paraId="6A9F4DCB">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本次招聘岗位如下：（具体岗位信息可在投递链接查看）</w:t>
      </w:r>
    </w:p>
    <w:p w14:paraId="577646C6">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3" w:firstLineChars="200"/>
        <w:jc w:val="both"/>
        <w:textAlignment w:val="top"/>
        <w:rPr>
          <w:rFonts w:hint="eastAsia" w:ascii="Times New Roman" w:hAnsi="Times New Roman" w:eastAsia="仿宋_GB2312" w:cs="Times New Roman"/>
          <w:b/>
          <w:bCs/>
          <w:kern w:val="2"/>
          <w:sz w:val="32"/>
          <w:szCs w:val="32"/>
          <w:highlight w:val="none"/>
          <w:lang w:val="en-US" w:eastAsia="zh-CN" w:bidi="ar-SA"/>
        </w:rPr>
      </w:pPr>
      <w:r>
        <w:rPr>
          <w:rFonts w:hint="eastAsia" w:ascii="Times New Roman" w:hAnsi="Times New Roman" w:eastAsia="仿宋_GB2312" w:cs="Times New Roman"/>
          <w:b/>
          <w:bCs/>
          <w:kern w:val="2"/>
          <w:sz w:val="32"/>
          <w:szCs w:val="32"/>
          <w:highlight w:val="none"/>
          <w:lang w:val="en-US" w:eastAsia="zh-CN" w:bidi="ar-SA"/>
        </w:rPr>
        <w:t>（一）集团总部</w:t>
      </w:r>
    </w:p>
    <w:p w14:paraId="76D646B2">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天津渤海轻工投资集团有限公司：</w:t>
      </w:r>
    </w:p>
    <w:p w14:paraId="11D8245A">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纪检监察岗1人；</w:t>
      </w:r>
    </w:p>
    <w:p w14:paraId="7AE5AEFE">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财务管理岗1人。</w:t>
      </w:r>
    </w:p>
    <w:p w14:paraId="5CA218B4">
      <w:pPr>
        <w:pStyle w:val="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leftChars="0" w:right="0" w:rightChars="0" w:firstLine="643" w:firstLineChars="200"/>
        <w:jc w:val="both"/>
        <w:textAlignment w:val="top"/>
        <w:rPr>
          <w:rFonts w:hint="eastAsia" w:ascii="Times New Roman" w:hAnsi="Times New Roman" w:eastAsia="仿宋_GB2312" w:cs="Times New Roman"/>
          <w:b/>
          <w:bCs/>
          <w:kern w:val="2"/>
          <w:sz w:val="32"/>
          <w:szCs w:val="32"/>
          <w:highlight w:val="none"/>
          <w:lang w:val="en-US" w:eastAsia="zh-CN" w:bidi="ar-SA"/>
        </w:rPr>
      </w:pPr>
      <w:r>
        <w:rPr>
          <w:rFonts w:hint="eastAsia" w:ascii="Times New Roman" w:hAnsi="Times New Roman" w:eastAsia="仿宋_GB2312" w:cs="Times New Roman"/>
          <w:b/>
          <w:bCs/>
          <w:kern w:val="2"/>
          <w:sz w:val="32"/>
          <w:szCs w:val="32"/>
          <w:highlight w:val="none"/>
          <w:lang w:val="en-US" w:eastAsia="zh-CN" w:bidi="ar-SA"/>
        </w:rPr>
        <w:t>（二）所属企业</w:t>
      </w:r>
    </w:p>
    <w:p w14:paraId="14852370">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1.天津市飞鸽集团有限公司：</w:t>
      </w:r>
    </w:p>
    <w:p w14:paraId="33001E67">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品牌运营岗2人；</w:t>
      </w:r>
    </w:p>
    <w:p w14:paraId="052B2CA4">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技术运营岗2人；</w:t>
      </w:r>
    </w:p>
    <w:p w14:paraId="429F502A">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资产运营岗2人。</w:t>
      </w:r>
    </w:p>
    <w:p w14:paraId="235CF719">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2.天津飞鸽车业有限公司：</w:t>
      </w:r>
    </w:p>
    <w:p w14:paraId="087CB515">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跨境电商销售岗2人；</w:t>
      </w:r>
    </w:p>
    <w:p w14:paraId="01957FA7">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研发及自行车检测岗4人；</w:t>
      </w:r>
    </w:p>
    <w:p w14:paraId="75838C45">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直营店管理岗2人。</w:t>
      </w:r>
    </w:p>
    <w:p w14:paraId="32F3FE93">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default" w:ascii="Times New Roman" w:hAnsi="Times New Roman" w:eastAsia="仿宋_GB2312" w:cs="Times New Roman"/>
          <w:kern w:val="2"/>
          <w:sz w:val="32"/>
          <w:szCs w:val="32"/>
          <w:highlight w:val="none"/>
          <w:lang w:val="en-US" w:eastAsia="zh-CN" w:bidi="ar-SA"/>
        </w:rPr>
        <w:t>3</w:t>
      </w:r>
      <w:r>
        <w:rPr>
          <w:rFonts w:hint="eastAsia" w:ascii="Times New Roman" w:hAnsi="Times New Roman" w:eastAsia="仿宋_GB2312" w:cs="Times New Roman"/>
          <w:kern w:val="2"/>
          <w:sz w:val="32"/>
          <w:szCs w:val="32"/>
          <w:highlight w:val="none"/>
          <w:lang w:val="en-US" w:eastAsia="zh-CN" w:bidi="ar-SA"/>
        </w:rPr>
        <w:t>.天津市山海关食品有限公司：</w:t>
      </w:r>
    </w:p>
    <w:p w14:paraId="4A7DFCF3">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销售业务岗2人。</w:t>
      </w:r>
    </w:p>
    <w:p w14:paraId="42477AB1">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4.天津市轻工业设计院有限公司：</w:t>
      </w:r>
    </w:p>
    <w:p w14:paraId="2AEEDBDA">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default"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工艺、制冷工程师岗1人。</w:t>
      </w:r>
    </w:p>
    <w:p w14:paraId="3FB8E64D">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default" w:ascii="Times New Roman" w:hAnsi="Times New Roman" w:eastAsia="仿宋_GB2312" w:cs="Times New Roman"/>
          <w:kern w:val="2"/>
          <w:sz w:val="32"/>
          <w:szCs w:val="32"/>
          <w:highlight w:val="none"/>
          <w:lang w:val="en-US" w:eastAsia="zh-CN" w:bidi="ar-SA"/>
        </w:rPr>
        <w:t>5</w:t>
      </w:r>
      <w:r>
        <w:rPr>
          <w:rFonts w:hint="eastAsia" w:ascii="Times New Roman" w:hAnsi="Times New Roman" w:eastAsia="仿宋_GB2312" w:cs="Times New Roman"/>
          <w:kern w:val="2"/>
          <w:sz w:val="32"/>
          <w:szCs w:val="32"/>
          <w:highlight w:val="none"/>
          <w:lang w:val="en-US" w:eastAsia="zh-CN" w:bidi="ar-SA"/>
        </w:rPr>
        <w:t>.天津兰普里克照明电器有限公司：</w:t>
      </w:r>
    </w:p>
    <w:p w14:paraId="27112C49">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default"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新产品开发设计工程师岗1人。</w:t>
      </w:r>
    </w:p>
    <w:p w14:paraId="703D1C0A">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6.天津天女化工集团股份有限公司：</w:t>
      </w:r>
    </w:p>
    <w:p w14:paraId="2BC5E705">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研发岗1人；</w:t>
      </w:r>
    </w:p>
    <w:p w14:paraId="4B85115C">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销售岗1人。</w:t>
      </w:r>
    </w:p>
    <w:p w14:paraId="532B3775">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7.天津市隆兴集团有限公司：</w:t>
      </w:r>
    </w:p>
    <w:p w14:paraId="3FB362E3">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党群工作部宣传、工会管理岗1人。</w:t>
      </w:r>
    </w:p>
    <w:p w14:paraId="6DD41B1B">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8.天津渤海轻工资产经营管理有限公司：</w:t>
      </w:r>
    </w:p>
    <w:p w14:paraId="6A0D2BF3">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资产管理岗1人；</w:t>
      </w:r>
    </w:p>
    <w:p w14:paraId="64E720B4">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top"/>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highlight w:val="none"/>
          <w:lang w:val="en-US" w:eastAsia="zh-CN" w:bidi="ar-SA"/>
        </w:rPr>
        <w:t>房地产管理岗1人。</w:t>
      </w:r>
    </w:p>
    <w:p w14:paraId="3E073D5D">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黑体" w:cs="Times New Roman"/>
          <w:color w:val="000000"/>
          <w:kern w:val="2"/>
          <w:sz w:val="32"/>
          <w:szCs w:val="32"/>
          <w:highlight w:val="none"/>
          <w:lang w:val="en-US" w:eastAsia="zh-CN" w:bidi="ar-SA"/>
        </w:rPr>
      </w:pPr>
      <w:r>
        <w:rPr>
          <w:rFonts w:hint="default" w:ascii="Times New Roman" w:hAnsi="Times New Roman" w:eastAsia="黑体" w:cs="Times New Roman"/>
          <w:color w:val="000000"/>
          <w:kern w:val="2"/>
          <w:sz w:val="32"/>
          <w:szCs w:val="32"/>
          <w:highlight w:val="none"/>
          <w:lang w:val="en-US" w:eastAsia="zh-CN" w:bidi="ar-SA"/>
        </w:rPr>
        <w:t>四、工作地点</w:t>
      </w:r>
    </w:p>
    <w:p w14:paraId="0FCFB1CF">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sz w:val="32"/>
          <w:szCs w:val="32"/>
          <w:highlight w:val="none"/>
          <w:lang w:val="en-US" w:eastAsia="zh-CN"/>
        </w:rPr>
      </w:pPr>
      <w:r>
        <w:rPr>
          <w:rFonts w:hint="default" w:ascii="Times New Roman" w:hAnsi="Times New Roman" w:eastAsia="仿宋_GB2312" w:cs="Times New Roman"/>
          <w:sz w:val="32"/>
          <w:szCs w:val="32"/>
          <w:highlight w:val="none"/>
          <w:lang w:val="en-US" w:eastAsia="zh-CN"/>
        </w:rPr>
        <w:t>天津</w:t>
      </w:r>
      <w:r>
        <w:rPr>
          <w:rFonts w:hint="eastAsia" w:eastAsia="仿宋_GB2312" w:cs="Times New Roman"/>
          <w:sz w:val="32"/>
          <w:szCs w:val="32"/>
          <w:highlight w:val="none"/>
          <w:lang w:val="en-US" w:eastAsia="zh-CN"/>
        </w:rPr>
        <w:t>市各区。</w:t>
      </w:r>
    </w:p>
    <w:p w14:paraId="5E617B58">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黑体" w:cs="Times New Roman"/>
          <w:color w:val="000000"/>
          <w:kern w:val="2"/>
          <w:sz w:val="32"/>
          <w:szCs w:val="32"/>
          <w:highlight w:val="none"/>
          <w:lang w:val="en-US" w:eastAsia="zh-CN" w:bidi="ar-SA"/>
        </w:rPr>
      </w:pPr>
      <w:r>
        <w:rPr>
          <w:rFonts w:hint="eastAsia" w:eastAsia="黑体" w:cs="Times New Roman"/>
          <w:color w:val="000000"/>
          <w:kern w:val="2"/>
          <w:sz w:val="32"/>
          <w:szCs w:val="32"/>
          <w:highlight w:val="none"/>
          <w:lang w:val="en-US" w:eastAsia="zh-CN" w:bidi="ar-SA"/>
        </w:rPr>
        <w:t>五</w:t>
      </w:r>
      <w:r>
        <w:rPr>
          <w:rFonts w:hint="default" w:ascii="Times New Roman" w:hAnsi="Times New Roman" w:eastAsia="黑体" w:cs="Times New Roman"/>
          <w:color w:val="000000"/>
          <w:kern w:val="2"/>
          <w:sz w:val="32"/>
          <w:szCs w:val="32"/>
          <w:highlight w:val="none"/>
          <w:lang w:val="en-US" w:eastAsia="zh-CN" w:bidi="ar-SA"/>
        </w:rPr>
        <w:t>、</w:t>
      </w:r>
      <w:r>
        <w:rPr>
          <w:rFonts w:hint="eastAsia" w:eastAsia="黑体" w:cs="Times New Roman"/>
          <w:color w:val="000000"/>
          <w:kern w:val="2"/>
          <w:sz w:val="32"/>
          <w:szCs w:val="32"/>
          <w:highlight w:val="none"/>
          <w:lang w:val="en-US" w:eastAsia="zh-CN" w:bidi="ar-SA"/>
        </w:rPr>
        <w:t>招聘</w:t>
      </w:r>
      <w:r>
        <w:rPr>
          <w:rFonts w:hint="eastAsia" w:ascii="Times New Roman" w:hAnsi="Times New Roman" w:eastAsia="黑体" w:cs="Times New Roman"/>
          <w:color w:val="000000"/>
          <w:kern w:val="2"/>
          <w:sz w:val="32"/>
          <w:szCs w:val="32"/>
          <w:highlight w:val="none"/>
          <w:lang w:val="en-US" w:eastAsia="zh-CN" w:bidi="ar-SA"/>
        </w:rPr>
        <w:t>流程</w:t>
      </w:r>
    </w:p>
    <w:p w14:paraId="5CBA4EDA">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eastAsia="仿宋_GB2312" w:cs="Times New Roman"/>
          <w:sz w:val="32"/>
          <w:szCs w:val="32"/>
          <w:highlight w:val="none"/>
          <w:lang w:val="en-US" w:eastAsia="zh-CN"/>
        </w:rPr>
        <w:t>流程：简历投递—简历筛选—笔试—面试—背景调查及审查</w:t>
      </w:r>
      <w:bookmarkStart w:id="0" w:name="_GoBack"/>
      <w:bookmarkEnd w:id="0"/>
      <w:r>
        <w:rPr>
          <w:rFonts w:hint="eastAsia" w:eastAsia="仿宋_GB2312" w:cs="Times New Roman"/>
          <w:sz w:val="32"/>
          <w:szCs w:val="32"/>
          <w:highlight w:val="none"/>
          <w:lang w:val="en-US" w:eastAsia="zh-CN"/>
        </w:rPr>
        <w:t>—体检—公示—</w:t>
      </w:r>
      <w:r>
        <w:rPr>
          <w:rFonts w:hint="eastAsia" w:ascii="仿宋_GB2312" w:hAnsi="仿宋_GB2312" w:eastAsia="仿宋_GB2312" w:cs="仿宋_GB2312"/>
          <w:sz w:val="32"/>
          <w:szCs w:val="32"/>
          <w:highlight w:val="none"/>
          <w:lang w:val="en-US" w:eastAsia="zh-CN"/>
        </w:rPr>
        <w:t>签订三方协议并入职（可根据双方需求提前实习）。</w:t>
      </w:r>
    </w:p>
    <w:p w14:paraId="681B6E23">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（一）简历投递</w:t>
      </w:r>
    </w:p>
    <w:p w14:paraId="16226971">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进入招聘网站或手机端扫码报名。</w:t>
      </w:r>
    </w:p>
    <w:p w14:paraId="3A82C7D8">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sz w:val="32"/>
          <w:szCs w:val="32"/>
          <w:highlight w:val="none"/>
          <w:lang w:val="en-US" w:eastAsia="zh-CN"/>
        </w:rPr>
      </w:pPr>
      <w:r>
        <w:rPr>
          <w:rFonts w:hint="eastAsia" w:eastAsia="仿宋_GB2312" w:cs="Times New Roman"/>
          <w:sz w:val="32"/>
          <w:szCs w:val="32"/>
          <w:highlight w:val="none"/>
          <w:lang w:val="en-US" w:eastAsia="zh-CN"/>
        </w:rPr>
        <w:t>1.电脑</w:t>
      </w:r>
      <w:r>
        <w:rPr>
          <w:rFonts w:hint="default" w:ascii="Times New Roman" w:hAnsi="Times New Roman" w:eastAsia="仿宋_GB2312" w:cs="Times New Roman"/>
          <w:sz w:val="32"/>
          <w:szCs w:val="32"/>
          <w:highlight w:val="none"/>
          <w:lang w:val="en-US" w:eastAsia="zh-CN"/>
        </w:rPr>
        <w:t>端投递链接</w:t>
      </w:r>
      <w:r>
        <w:rPr>
          <w:rFonts w:hint="eastAsia" w:eastAsia="仿宋_GB2312" w:cs="Times New Roman"/>
          <w:sz w:val="32"/>
          <w:szCs w:val="32"/>
          <w:highlight w:val="none"/>
          <w:lang w:val="en-US" w:eastAsia="zh-CN"/>
        </w:rPr>
        <w:t>：https://tjbqjt.zhaopin.com/</w:t>
      </w:r>
    </w:p>
    <w:p w14:paraId="56927AD1">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eastAsia="仿宋_GB2312" w:cs="Times New Roman"/>
          <w:sz w:val="32"/>
          <w:szCs w:val="32"/>
          <w:highlight w:val="none"/>
          <w:lang w:val="en-US" w:eastAsia="zh-CN"/>
        </w:rPr>
      </w:pPr>
      <w:r>
        <w:rPr>
          <w:rFonts w:hint="eastAsia" w:eastAsia="仿宋_GB2312" w:cs="Times New Roman"/>
          <w:sz w:val="32"/>
          <w:szCs w:val="32"/>
          <w:highlight w:val="none"/>
          <w:lang w:val="en-US" w:eastAsia="zh-CN"/>
        </w:rPr>
        <w:t>2.</w:t>
      </w:r>
      <w:r>
        <w:rPr>
          <w:rFonts w:hint="default" w:ascii="Times New Roman" w:hAnsi="Times New Roman" w:eastAsia="仿宋_GB2312" w:cs="Times New Roman"/>
          <w:sz w:val="32"/>
          <w:szCs w:val="32"/>
          <w:highlight w:val="none"/>
          <w:lang w:val="en-US" w:eastAsia="zh-CN"/>
        </w:rPr>
        <w:t>手机端投递链接</w:t>
      </w:r>
      <w:r>
        <w:rPr>
          <w:rFonts w:hint="eastAsia" w:eastAsia="仿宋_GB2312" w:cs="Times New Roman"/>
          <w:sz w:val="32"/>
          <w:szCs w:val="32"/>
          <w:highlight w:val="none"/>
          <w:lang w:val="en-US" w:eastAsia="zh-CN"/>
        </w:rPr>
        <w:t>：</w:t>
      </w:r>
    </w:p>
    <w:p w14:paraId="3B3D6C53">
      <w:pPr>
        <w:keepNext w:val="0"/>
        <w:keepLines w:val="0"/>
        <w:pageBreakBefore w:val="0"/>
        <w:widowControl w:val="0"/>
        <w:kinsoku/>
        <w:wordWrap/>
        <w:overflowPunct/>
        <w:topLinePunct w:val="0"/>
        <w:autoSpaceDE/>
        <w:autoSpaceDN/>
        <w:bidi w:val="0"/>
        <w:adjustRightInd/>
        <w:snapToGrid/>
        <w:spacing w:line="560" w:lineRule="exact"/>
        <w:ind w:firstLine="420" w:firstLineChars="200"/>
        <w:jc w:val="center"/>
        <w:textAlignment w:val="auto"/>
        <w:rPr>
          <w:rFonts w:hint="eastAsia" w:eastAsia="仿宋_GB2312" w:cs="Times New Roman"/>
          <w:b/>
          <w:bCs/>
          <w:color w:val="auto"/>
          <w:sz w:val="32"/>
          <w:szCs w:val="32"/>
          <w:highlight w:val="none"/>
          <w:shd w:val="clear" w:color="FFFFFF" w:fill="D9D9D9"/>
          <w:lang w:val="en-US" w:eastAsia="zh-CN"/>
        </w:rPr>
      </w:pPr>
      <w:r>
        <w:rPr>
          <w:highlight w:val="none"/>
        </w:rPr>
        <w:drawing>
          <wp:anchor distT="0" distB="0" distL="114300" distR="114300" simplePos="0" relativeHeight="251659264" behindDoc="0" locked="0" layoutInCell="1" allowOverlap="1">
            <wp:simplePos x="0" y="0"/>
            <wp:positionH relativeFrom="column">
              <wp:posOffset>2056765</wp:posOffset>
            </wp:positionH>
            <wp:positionV relativeFrom="paragraph">
              <wp:posOffset>53975</wp:posOffset>
            </wp:positionV>
            <wp:extent cx="1619250" cy="1619250"/>
            <wp:effectExtent l="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1619250" cy="1619250"/>
                    </a:xfrm>
                    <a:prstGeom prst="rect">
                      <a:avLst/>
                    </a:prstGeom>
                    <a:noFill/>
                    <a:ln>
                      <a:noFill/>
                    </a:ln>
                  </pic:spPr>
                </pic:pic>
              </a:graphicData>
            </a:graphic>
          </wp:anchor>
        </w:drawing>
      </w:r>
    </w:p>
    <w:p w14:paraId="2B227C82">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center"/>
        <w:textAlignment w:val="auto"/>
        <w:rPr>
          <w:rFonts w:hint="eastAsia" w:eastAsia="仿宋_GB2312" w:cs="Times New Roman"/>
          <w:b/>
          <w:bCs/>
          <w:color w:val="auto"/>
          <w:sz w:val="32"/>
          <w:szCs w:val="32"/>
          <w:highlight w:val="none"/>
          <w:shd w:val="clear" w:color="FFFFFF" w:fill="D9D9D9"/>
          <w:lang w:val="en-US" w:eastAsia="zh-CN"/>
        </w:rPr>
      </w:pPr>
    </w:p>
    <w:p w14:paraId="1CDA4B76">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center"/>
        <w:textAlignment w:val="auto"/>
        <w:rPr>
          <w:rFonts w:hint="eastAsia" w:eastAsia="仿宋_GB2312" w:cs="Times New Roman"/>
          <w:b/>
          <w:bCs/>
          <w:color w:val="auto"/>
          <w:sz w:val="32"/>
          <w:szCs w:val="32"/>
          <w:highlight w:val="none"/>
          <w:shd w:val="clear" w:color="FFFFFF" w:fill="D9D9D9"/>
          <w:lang w:val="en-US" w:eastAsia="zh-CN"/>
        </w:rPr>
      </w:pPr>
    </w:p>
    <w:p w14:paraId="7A17D3F6">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center"/>
        <w:textAlignment w:val="auto"/>
        <w:rPr>
          <w:rFonts w:hint="eastAsia" w:eastAsia="仿宋_GB2312" w:cs="Times New Roman"/>
          <w:b/>
          <w:bCs/>
          <w:color w:val="auto"/>
          <w:sz w:val="32"/>
          <w:szCs w:val="32"/>
          <w:highlight w:val="none"/>
          <w:shd w:val="clear" w:color="FFFFFF" w:fill="D9D9D9"/>
          <w:lang w:val="en-US" w:eastAsia="zh-CN"/>
        </w:rPr>
      </w:pPr>
    </w:p>
    <w:p w14:paraId="17D7F9F7">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p>
    <w:p w14:paraId="66368915">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报名截止时间：从发布公告起，截止到2025年4月27日24:00。</w:t>
      </w:r>
    </w:p>
    <w:p w14:paraId="2D795B78">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每人限报一个岗位，报名不收取任何费用，应聘人员按照提示要求真实、准确、完整填写个人信息，报名截止后信息不可修改，因应聘人员个人原因造成的错误，或不完整填写报名信息的，后果及责任由本人自负。对提供虚假报名材料的，一经查实，即取消应聘资格。</w:t>
      </w:r>
    </w:p>
    <w:p w14:paraId="5E0ADD4B">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（二）简历筛选</w:t>
      </w:r>
    </w:p>
    <w:p w14:paraId="50D83642">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综合应聘人员基本情况进行筛选，通过筛选的应聘人员，会以短信、邮件形式通知笔试。</w:t>
      </w:r>
    </w:p>
    <w:p w14:paraId="3B4BC39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val="en-US" w:eastAsia="zh-CN"/>
        </w:rPr>
        <w:t>（三）笔试</w:t>
      </w:r>
    </w:p>
    <w:p w14:paraId="7DCD507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eastAsia="zh-CN"/>
        </w:rPr>
        <w:t>笔试采取闭卷形式，满分为100分。</w:t>
      </w:r>
    </w:p>
    <w:p w14:paraId="15CD85E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eastAsia="zh-CN"/>
        </w:rPr>
        <w:t>笔试内容主要涉及行政职业能力测验、专业知识、写作等。</w:t>
      </w:r>
    </w:p>
    <w:p w14:paraId="72E4BE5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eastAsia="zh-CN"/>
        </w:rPr>
        <w:t>笔试设置开考要求，到现场参加笔试人数：集团总部岗位不得</w:t>
      </w:r>
      <w:r>
        <w:rPr>
          <w:rFonts w:hint="eastAsia" w:ascii="仿宋_GB2312" w:hAnsi="仿宋_GB2312" w:eastAsia="仿宋_GB2312" w:cs="仿宋_GB2312"/>
          <w:sz w:val="32"/>
          <w:szCs w:val="32"/>
          <w:highlight w:val="none"/>
          <w:lang w:val="en-US" w:eastAsia="zh-CN"/>
        </w:rPr>
        <w:t>低于10人；</w:t>
      </w:r>
      <w:r>
        <w:rPr>
          <w:rFonts w:hint="eastAsia" w:ascii="仿宋_GB2312" w:hAnsi="仿宋_GB2312" w:eastAsia="仿宋_GB2312" w:cs="仿宋_GB2312"/>
          <w:sz w:val="32"/>
          <w:szCs w:val="32"/>
          <w:highlight w:val="none"/>
          <w:lang w:eastAsia="zh-CN"/>
        </w:rPr>
        <w:t>销售、研发、工程师、技术运营类岗位及飞鸽车业岗位不得低于</w:t>
      </w:r>
      <w:r>
        <w:rPr>
          <w:rFonts w:hint="eastAsia" w:ascii="仿宋_GB2312" w:hAnsi="仿宋_GB2312" w:eastAsia="仿宋_GB2312" w:cs="仿宋_GB2312"/>
          <w:sz w:val="32"/>
          <w:szCs w:val="32"/>
          <w:highlight w:val="none"/>
          <w:lang w:val="en-US" w:eastAsia="zh-CN"/>
        </w:rPr>
        <w:t>3人；</w:t>
      </w:r>
      <w:r>
        <w:rPr>
          <w:rFonts w:hint="eastAsia" w:ascii="仿宋_GB2312" w:hAnsi="仿宋_GB2312" w:eastAsia="仿宋_GB2312" w:cs="仿宋_GB2312"/>
          <w:sz w:val="32"/>
          <w:szCs w:val="32"/>
          <w:highlight w:val="none"/>
          <w:lang w:eastAsia="zh-CN"/>
        </w:rPr>
        <w:t>其他岗位不得低于</w:t>
      </w:r>
      <w:r>
        <w:rPr>
          <w:rFonts w:hint="eastAsia" w:ascii="仿宋_GB2312" w:hAnsi="仿宋_GB2312" w:eastAsia="仿宋_GB2312" w:cs="仿宋_GB2312"/>
          <w:sz w:val="32"/>
          <w:szCs w:val="32"/>
          <w:highlight w:val="none"/>
          <w:lang w:val="en-US" w:eastAsia="zh-CN"/>
        </w:rPr>
        <w:t>5人。</w:t>
      </w:r>
    </w:p>
    <w:p w14:paraId="1854259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val="en-US" w:eastAsia="zh-CN"/>
        </w:rPr>
        <w:t>不符合开考要求的岗位，对应岗位</w:t>
      </w:r>
      <w:r>
        <w:rPr>
          <w:rFonts w:hint="eastAsia" w:ascii="仿宋_GB2312" w:hAnsi="仿宋_GB2312" w:eastAsia="仿宋_GB2312" w:cs="仿宋_GB2312"/>
          <w:sz w:val="32"/>
          <w:szCs w:val="32"/>
          <w:highlight w:val="none"/>
          <w:lang w:eastAsia="zh-CN"/>
        </w:rPr>
        <w:t>当日不组织笔试，招聘延期；符合开考要求的岗位当日正常组织笔试。</w:t>
      </w:r>
    </w:p>
    <w:p w14:paraId="6B3942D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eastAsia="zh-CN"/>
        </w:rPr>
        <w:t>根据笔试成绩从高到低排序，按照对应岗位面试比例进入面试环节。如名单排名末位笔试成绩相同则一并进入面试。</w:t>
      </w:r>
    </w:p>
    <w:p w14:paraId="6A874D7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sz w:val="32"/>
          <w:szCs w:val="32"/>
          <w:highlight w:val="none"/>
          <w:lang w:eastAsia="zh-CN"/>
        </w:rPr>
      </w:pPr>
      <w:r>
        <w:rPr>
          <w:rFonts w:hint="eastAsia" w:ascii="仿宋_GB2312" w:hAnsi="仿宋_GB2312" w:eastAsia="仿宋_GB2312" w:cs="仿宋_GB2312"/>
          <w:b w:val="0"/>
          <w:bCs w:val="0"/>
          <w:sz w:val="32"/>
          <w:szCs w:val="32"/>
          <w:highlight w:val="none"/>
          <w:lang w:eastAsia="zh-CN"/>
        </w:rPr>
        <w:t>（四）面试</w:t>
      </w:r>
    </w:p>
    <w:p w14:paraId="5FE9689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eastAsia="zh-CN"/>
        </w:rPr>
        <w:t>面试采取半结构化考核形式，满分</w:t>
      </w:r>
      <w:r>
        <w:rPr>
          <w:rFonts w:hint="eastAsia" w:ascii="仿宋_GB2312" w:hAnsi="仿宋_GB2312" w:eastAsia="仿宋_GB2312" w:cs="仿宋_GB2312"/>
          <w:sz w:val="32"/>
          <w:szCs w:val="32"/>
          <w:highlight w:val="none"/>
          <w:lang w:val="en-US" w:eastAsia="zh-CN"/>
        </w:rPr>
        <w:t>100分。</w:t>
      </w:r>
    </w:p>
    <w:p w14:paraId="6BE6069C">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rPr>
          <w:rFonts w:hint="default" w:ascii="仿宋_GB2312" w:hAnsi="仿宋_GB2312" w:eastAsia="仿宋_GB2312" w:cs="仿宋_GB2312"/>
          <w:sz w:val="32"/>
          <w:szCs w:val="32"/>
          <w:highlight w:val="none"/>
          <w:lang w:val="en-US" w:eastAsia="zh-CN"/>
        </w:rPr>
      </w:pPr>
      <w:r>
        <w:rPr>
          <w:rFonts w:hint="default" w:ascii="仿宋_GB2312" w:hAnsi="仿宋_GB2312" w:eastAsia="仿宋_GB2312" w:cs="仿宋_GB2312"/>
          <w:sz w:val="32"/>
          <w:szCs w:val="32"/>
          <w:highlight w:val="none"/>
          <w:lang w:val="en-US" w:eastAsia="zh-CN"/>
        </w:rPr>
        <w:t>面试设置开考要求，各岗位根据招聘人数，</w:t>
      </w:r>
      <w:r>
        <w:rPr>
          <w:rFonts w:hint="eastAsia" w:ascii="仿宋_GB2312" w:hAnsi="仿宋_GB2312" w:eastAsia="仿宋_GB2312" w:cs="仿宋_GB2312"/>
          <w:sz w:val="32"/>
          <w:szCs w:val="32"/>
          <w:highlight w:val="none"/>
          <w:lang w:val="en-US" w:eastAsia="zh-CN"/>
        </w:rPr>
        <w:t>进入面试</w:t>
      </w:r>
      <w:r>
        <w:rPr>
          <w:rFonts w:hint="default" w:ascii="仿宋_GB2312" w:hAnsi="仿宋_GB2312" w:eastAsia="仿宋_GB2312" w:cs="仿宋_GB2312"/>
          <w:sz w:val="32"/>
          <w:szCs w:val="32"/>
          <w:highlight w:val="none"/>
          <w:lang w:val="en-US" w:eastAsia="zh-CN"/>
        </w:rPr>
        <w:t>按照笔试成绩从高到低排序，以集团总部1:10（所属企业1:5）的比例通知面试人员，排名最后一位成绩相同，一并进入面试名单。现场面试开考要求：需满足对应岗位到场面试</w:t>
      </w:r>
      <w:r>
        <w:rPr>
          <w:rFonts w:hint="eastAsia" w:ascii="仿宋_GB2312" w:hAnsi="仿宋_GB2312" w:eastAsia="仿宋_GB2312" w:cs="仿宋_GB2312"/>
          <w:sz w:val="32"/>
          <w:szCs w:val="32"/>
          <w:highlight w:val="none"/>
          <w:lang w:val="en-US" w:eastAsia="zh-CN"/>
        </w:rPr>
        <w:t>人数</w:t>
      </w:r>
      <w:r>
        <w:rPr>
          <w:rFonts w:hint="default" w:ascii="仿宋_GB2312" w:hAnsi="仿宋_GB2312" w:eastAsia="仿宋_GB2312" w:cs="仿宋_GB2312"/>
          <w:sz w:val="32"/>
          <w:szCs w:val="32"/>
          <w:highlight w:val="none"/>
          <w:lang w:val="en-US" w:eastAsia="zh-CN"/>
        </w:rPr>
        <w:t>3人及以上。</w:t>
      </w:r>
    </w:p>
    <w:p w14:paraId="199C6ABB">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rPr>
        <w:t>入围面试人员需在面试前参加线上</w:t>
      </w:r>
      <w:r>
        <w:rPr>
          <w:rFonts w:hint="eastAsia" w:ascii="仿宋_GB2312" w:hAnsi="仿宋_GB2312" w:eastAsia="仿宋_GB2312" w:cs="仿宋_GB2312"/>
          <w:color w:val="auto"/>
          <w:sz w:val="32"/>
          <w:szCs w:val="32"/>
          <w:highlight w:val="none"/>
          <w:lang w:val="en-US" w:eastAsia="zh-CN"/>
        </w:rPr>
        <w:t>心理测评，测评随面试通知同步发送，测评时间为20分钟，需要在接到测评通知24小时内完成，如超过时限且招聘组人员提醒后仍未完成测评，视作放弃面试资格</w:t>
      </w:r>
      <w:r>
        <w:rPr>
          <w:rFonts w:hint="eastAsia" w:ascii="仿宋_GB2312" w:hAnsi="仿宋_GB2312" w:eastAsia="仿宋_GB2312" w:cs="仿宋_GB2312"/>
          <w:color w:val="auto"/>
          <w:sz w:val="32"/>
          <w:szCs w:val="32"/>
          <w:highlight w:val="none"/>
        </w:rPr>
        <w:t>。</w:t>
      </w:r>
      <w:r>
        <w:rPr>
          <w:rFonts w:hint="eastAsia" w:ascii="仿宋_GB2312" w:hAnsi="仿宋_GB2312" w:eastAsia="仿宋_GB2312" w:cs="仿宋_GB2312"/>
          <w:color w:val="auto"/>
          <w:sz w:val="32"/>
          <w:szCs w:val="32"/>
          <w:highlight w:val="none"/>
          <w:lang w:val="en-US" w:eastAsia="zh-CN"/>
        </w:rPr>
        <w:t>测评结果不计分数，只作为面试参考依据。</w:t>
      </w:r>
    </w:p>
    <w:p w14:paraId="6EACAA98">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如通知</w:t>
      </w:r>
      <w:r>
        <w:rPr>
          <w:rFonts w:hint="eastAsia" w:ascii="仿宋_GB2312" w:hAnsi="仿宋_GB2312" w:eastAsia="仿宋_GB2312" w:cs="仿宋_GB2312"/>
          <w:color w:val="auto"/>
          <w:sz w:val="32"/>
          <w:szCs w:val="32"/>
          <w:highlight w:val="none"/>
        </w:rPr>
        <w:t>面试</w:t>
      </w:r>
      <w:r>
        <w:rPr>
          <w:rFonts w:hint="eastAsia" w:ascii="仿宋_GB2312" w:hAnsi="仿宋_GB2312" w:eastAsia="仿宋_GB2312" w:cs="仿宋_GB2312"/>
          <w:color w:val="auto"/>
          <w:sz w:val="32"/>
          <w:szCs w:val="32"/>
          <w:highlight w:val="none"/>
          <w:lang w:val="en-US" w:eastAsia="zh-CN"/>
        </w:rPr>
        <w:t>阶段候选人</w:t>
      </w:r>
      <w:r>
        <w:rPr>
          <w:rFonts w:hint="eastAsia" w:ascii="仿宋_GB2312" w:hAnsi="仿宋_GB2312" w:eastAsia="仿宋_GB2312" w:cs="仿宋_GB2312"/>
          <w:color w:val="auto"/>
          <w:sz w:val="32"/>
          <w:szCs w:val="32"/>
          <w:highlight w:val="none"/>
        </w:rPr>
        <w:t>明确放弃</w:t>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rPr>
        <w:t>在报考同一岗位的笔试合格人员中</w:t>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rPr>
        <w:t>按照笔试成绩从高</w:t>
      </w:r>
      <w:r>
        <w:rPr>
          <w:rFonts w:hint="eastAsia" w:ascii="仿宋_GB2312" w:hAnsi="仿宋_GB2312" w:eastAsia="仿宋_GB2312" w:cs="仿宋_GB2312"/>
          <w:color w:val="auto"/>
          <w:sz w:val="32"/>
          <w:szCs w:val="32"/>
          <w:highlight w:val="none"/>
          <w:lang w:eastAsia="zh-CN"/>
        </w:rPr>
        <w:t>到</w:t>
      </w:r>
      <w:r>
        <w:rPr>
          <w:rFonts w:hint="eastAsia" w:ascii="仿宋_GB2312" w:hAnsi="仿宋_GB2312" w:eastAsia="仿宋_GB2312" w:cs="仿宋_GB2312"/>
          <w:color w:val="auto"/>
          <w:sz w:val="32"/>
          <w:szCs w:val="32"/>
          <w:highlight w:val="none"/>
        </w:rPr>
        <w:t>低递补</w:t>
      </w:r>
      <w:r>
        <w:rPr>
          <w:rFonts w:hint="eastAsia" w:ascii="仿宋_GB2312" w:hAnsi="仿宋_GB2312" w:eastAsia="仿宋_GB2312" w:cs="仿宋_GB2312"/>
          <w:color w:val="auto"/>
          <w:sz w:val="32"/>
          <w:szCs w:val="32"/>
          <w:highlight w:val="none"/>
          <w:lang w:eastAsia="zh-CN"/>
        </w:rPr>
        <w:t>。</w:t>
      </w:r>
      <w:r>
        <w:rPr>
          <w:rFonts w:hint="default" w:ascii="仿宋_GB2312" w:hAnsi="仿宋_GB2312" w:eastAsia="仿宋_GB2312" w:cs="仿宋_GB2312"/>
          <w:sz w:val="32"/>
          <w:szCs w:val="32"/>
          <w:highlight w:val="none"/>
          <w:lang w:val="en-US" w:eastAsia="zh-CN"/>
        </w:rPr>
        <w:t>排名最后一位</w:t>
      </w:r>
      <w:r>
        <w:rPr>
          <w:rFonts w:hint="eastAsia" w:ascii="仿宋_GB2312" w:hAnsi="仿宋_GB2312" w:eastAsia="仿宋_GB2312" w:cs="仿宋_GB2312"/>
          <w:sz w:val="32"/>
          <w:szCs w:val="32"/>
          <w:highlight w:val="none"/>
          <w:lang w:eastAsia="zh-CN"/>
        </w:rPr>
        <w:t>笔试成绩相同，一并进入面试</w:t>
      </w:r>
      <w:r>
        <w:rPr>
          <w:rFonts w:hint="eastAsia" w:ascii="仿宋_GB2312" w:hAnsi="仿宋_GB2312" w:eastAsia="仿宋_GB2312" w:cs="仿宋_GB2312"/>
          <w:color w:val="auto"/>
          <w:sz w:val="32"/>
          <w:szCs w:val="32"/>
          <w:highlight w:val="none"/>
        </w:rPr>
        <w:t>。</w:t>
      </w:r>
    </w:p>
    <w:p w14:paraId="1A008D6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sz w:val="32"/>
          <w:szCs w:val="32"/>
          <w:highlight w:val="none"/>
          <w:lang w:val="en-US" w:eastAsia="zh-CN"/>
        </w:rPr>
      </w:pPr>
      <w:r>
        <w:rPr>
          <w:rFonts w:hint="default" w:ascii="仿宋_GB2312" w:hAnsi="仿宋_GB2312" w:eastAsia="仿宋_GB2312" w:cs="仿宋_GB2312"/>
          <w:sz w:val="32"/>
          <w:szCs w:val="32"/>
          <w:highlight w:val="none"/>
          <w:lang w:val="en-US" w:eastAsia="zh-CN"/>
        </w:rPr>
        <w:t>如有面试缺考，参照下述方式调整：</w:t>
      </w:r>
    </w:p>
    <w:p w14:paraId="379F5DD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sz w:val="32"/>
          <w:szCs w:val="32"/>
          <w:highlight w:val="none"/>
          <w:lang w:val="en-US" w:eastAsia="zh-CN"/>
        </w:rPr>
      </w:pPr>
      <w:r>
        <w:rPr>
          <w:rFonts w:hint="default" w:ascii="仿宋_GB2312" w:hAnsi="仿宋_GB2312" w:eastAsia="仿宋_GB2312" w:cs="仿宋_GB2312"/>
          <w:sz w:val="32"/>
          <w:szCs w:val="32"/>
          <w:highlight w:val="none"/>
          <w:lang w:val="en-US" w:eastAsia="zh-CN"/>
        </w:rPr>
        <w:t>1.当日到达面试现场人员在3人及以上但不满足集团总部1:10（所属企业1:5）的比例要求时，按实际到现场人数组织面试，同时按照1:3的比例缩减招聘</w:t>
      </w:r>
      <w:r>
        <w:rPr>
          <w:rFonts w:hint="eastAsia" w:ascii="仿宋_GB2312" w:hAnsi="仿宋_GB2312" w:eastAsia="仿宋_GB2312" w:cs="仿宋_GB2312"/>
          <w:sz w:val="32"/>
          <w:szCs w:val="32"/>
          <w:highlight w:val="none"/>
          <w:lang w:val="en-US" w:eastAsia="zh-CN"/>
        </w:rPr>
        <w:t>人数</w:t>
      </w:r>
      <w:r>
        <w:rPr>
          <w:rFonts w:hint="default" w:ascii="仿宋_GB2312" w:hAnsi="仿宋_GB2312" w:eastAsia="仿宋_GB2312" w:cs="仿宋_GB2312"/>
          <w:sz w:val="32"/>
          <w:szCs w:val="32"/>
          <w:highlight w:val="none"/>
          <w:lang w:val="en-US" w:eastAsia="zh-CN"/>
        </w:rPr>
        <w:t>，如原计划招</w:t>
      </w:r>
      <w:r>
        <w:rPr>
          <w:rFonts w:hint="eastAsia" w:ascii="仿宋_GB2312" w:hAnsi="仿宋_GB2312" w:eastAsia="仿宋_GB2312" w:cs="仿宋_GB2312"/>
          <w:sz w:val="32"/>
          <w:szCs w:val="32"/>
          <w:highlight w:val="none"/>
          <w:lang w:val="en-US" w:eastAsia="zh-CN"/>
        </w:rPr>
        <w:t>4</w:t>
      </w:r>
      <w:r>
        <w:rPr>
          <w:rFonts w:hint="default" w:ascii="仿宋_GB2312" w:hAnsi="仿宋_GB2312" w:eastAsia="仿宋_GB2312" w:cs="仿宋_GB2312"/>
          <w:sz w:val="32"/>
          <w:szCs w:val="32"/>
          <w:highlight w:val="none"/>
          <w:lang w:val="en-US" w:eastAsia="zh-CN"/>
        </w:rPr>
        <w:t>人，实际参加面试</w:t>
      </w:r>
      <w:r>
        <w:rPr>
          <w:rFonts w:hint="eastAsia" w:ascii="仿宋_GB2312" w:hAnsi="仿宋_GB2312" w:eastAsia="仿宋_GB2312" w:cs="仿宋_GB2312"/>
          <w:sz w:val="32"/>
          <w:szCs w:val="32"/>
          <w:highlight w:val="none"/>
          <w:lang w:val="en-US" w:eastAsia="zh-CN"/>
        </w:rPr>
        <w:t>7</w:t>
      </w:r>
      <w:r>
        <w:rPr>
          <w:rFonts w:hint="default" w:ascii="仿宋_GB2312" w:hAnsi="仿宋_GB2312" w:eastAsia="仿宋_GB2312" w:cs="仿宋_GB2312"/>
          <w:sz w:val="32"/>
          <w:szCs w:val="32"/>
          <w:highlight w:val="none"/>
          <w:lang w:val="en-US" w:eastAsia="zh-CN"/>
        </w:rPr>
        <w:t>人，该岗位最多招</w:t>
      </w:r>
      <w:r>
        <w:rPr>
          <w:rFonts w:hint="eastAsia" w:ascii="仿宋_GB2312" w:hAnsi="仿宋_GB2312" w:eastAsia="仿宋_GB2312" w:cs="仿宋_GB2312"/>
          <w:sz w:val="32"/>
          <w:szCs w:val="32"/>
          <w:highlight w:val="none"/>
          <w:lang w:val="en-US" w:eastAsia="zh-CN"/>
        </w:rPr>
        <w:t>2</w:t>
      </w:r>
      <w:r>
        <w:rPr>
          <w:rFonts w:hint="default" w:ascii="仿宋_GB2312" w:hAnsi="仿宋_GB2312" w:eastAsia="仿宋_GB2312" w:cs="仿宋_GB2312"/>
          <w:sz w:val="32"/>
          <w:szCs w:val="32"/>
          <w:highlight w:val="none"/>
          <w:lang w:val="en-US" w:eastAsia="zh-CN"/>
        </w:rPr>
        <w:t>人，依此类推。</w:t>
      </w:r>
    </w:p>
    <w:p w14:paraId="061DB7B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sz w:val="32"/>
          <w:szCs w:val="32"/>
          <w:highlight w:val="none"/>
          <w:lang w:val="en-US" w:eastAsia="zh-CN"/>
        </w:rPr>
      </w:pPr>
      <w:r>
        <w:rPr>
          <w:rFonts w:hint="default" w:ascii="仿宋_GB2312" w:hAnsi="仿宋_GB2312" w:eastAsia="仿宋_GB2312" w:cs="仿宋_GB2312"/>
          <w:sz w:val="32"/>
          <w:szCs w:val="32"/>
          <w:highlight w:val="none"/>
          <w:lang w:val="en-US" w:eastAsia="zh-CN"/>
        </w:rPr>
        <w:t>2.当日到达面试现场人员不足3人的，则该岗位不具备面试开考条件（当日不再组织面试）。当日面试</w:t>
      </w:r>
      <w:r>
        <w:rPr>
          <w:rFonts w:hint="eastAsia" w:ascii="仿宋_GB2312" w:hAnsi="仿宋_GB2312" w:eastAsia="仿宋_GB2312" w:cs="仿宋_GB2312"/>
          <w:sz w:val="32"/>
          <w:szCs w:val="32"/>
          <w:highlight w:val="none"/>
          <w:lang w:val="en-US" w:eastAsia="zh-CN"/>
        </w:rPr>
        <w:t>未开考</w:t>
      </w:r>
      <w:r>
        <w:rPr>
          <w:rFonts w:hint="default" w:ascii="仿宋_GB2312" w:hAnsi="仿宋_GB2312" w:eastAsia="仿宋_GB2312" w:cs="仿宋_GB2312"/>
          <w:sz w:val="32"/>
          <w:szCs w:val="32"/>
          <w:highlight w:val="none"/>
          <w:lang w:val="en-US" w:eastAsia="zh-CN"/>
        </w:rPr>
        <w:t>的岗位，</w:t>
      </w:r>
      <w:r>
        <w:rPr>
          <w:rFonts w:hint="eastAsia" w:ascii="仿宋_GB2312" w:hAnsi="仿宋_GB2312" w:eastAsia="仿宋_GB2312" w:cs="仿宋_GB2312"/>
          <w:sz w:val="32"/>
          <w:szCs w:val="32"/>
          <w:highlight w:val="none"/>
          <w:lang w:val="en-US" w:eastAsia="zh-CN"/>
        </w:rPr>
        <w:t>取消未到场面试人员资格，</w:t>
      </w:r>
      <w:r>
        <w:rPr>
          <w:rFonts w:hint="default" w:ascii="仿宋_GB2312" w:hAnsi="仿宋_GB2312" w:eastAsia="仿宋_GB2312" w:cs="仿宋_GB2312"/>
          <w:sz w:val="32"/>
          <w:szCs w:val="32"/>
          <w:highlight w:val="none"/>
          <w:lang w:val="en-US" w:eastAsia="zh-CN"/>
        </w:rPr>
        <w:t>按照笔试成绩</w:t>
      </w:r>
      <w:r>
        <w:rPr>
          <w:rFonts w:hint="eastAsia" w:ascii="仿宋_GB2312" w:hAnsi="仿宋_GB2312" w:eastAsia="仿宋_GB2312" w:cs="仿宋_GB2312"/>
          <w:sz w:val="32"/>
          <w:szCs w:val="32"/>
          <w:highlight w:val="none"/>
          <w:lang w:val="en-US" w:eastAsia="zh-CN"/>
        </w:rPr>
        <w:t>再次排序</w:t>
      </w:r>
      <w:r>
        <w:rPr>
          <w:rFonts w:hint="default" w:ascii="仿宋_GB2312" w:hAnsi="仿宋_GB2312" w:eastAsia="仿宋_GB2312" w:cs="仿宋_GB2312"/>
          <w:sz w:val="32"/>
          <w:szCs w:val="32"/>
          <w:highlight w:val="none"/>
          <w:lang w:val="en-US" w:eastAsia="zh-CN"/>
        </w:rPr>
        <w:t>确定面试名单</w:t>
      </w:r>
      <w:r>
        <w:rPr>
          <w:rFonts w:hint="eastAsia" w:ascii="仿宋_GB2312" w:hAnsi="仿宋_GB2312" w:eastAsia="仿宋_GB2312" w:cs="仿宋_GB2312"/>
          <w:sz w:val="32"/>
          <w:szCs w:val="32"/>
          <w:highlight w:val="none"/>
          <w:lang w:val="en-US" w:eastAsia="zh-CN"/>
        </w:rPr>
        <w:t>，</w:t>
      </w:r>
      <w:r>
        <w:rPr>
          <w:rFonts w:hint="default" w:ascii="仿宋_GB2312" w:hAnsi="仿宋_GB2312" w:eastAsia="仿宋_GB2312" w:cs="仿宋_GB2312"/>
          <w:sz w:val="32"/>
          <w:szCs w:val="32"/>
          <w:highlight w:val="none"/>
          <w:lang w:val="en-US" w:eastAsia="zh-CN"/>
        </w:rPr>
        <w:t>通知比例：集团总部1:10（所属企业1:5），面试时间另行通知。如再次组织面试，到达面试现场人员仍不足3人，取消该岗位本次招聘。</w:t>
      </w:r>
    </w:p>
    <w:p w14:paraId="0C15386C">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jc w:val="left"/>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最终录用根据面试成绩从高到低排序，择优录用。</w:t>
      </w:r>
      <w:r>
        <w:rPr>
          <w:rFonts w:hint="default" w:ascii="仿宋_GB2312" w:hAnsi="仿宋_GB2312" w:eastAsia="仿宋_GB2312" w:cs="仿宋_GB2312"/>
          <w:sz w:val="32"/>
          <w:szCs w:val="32"/>
          <w:highlight w:val="none"/>
          <w:lang w:val="en-US" w:eastAsia="zh-CN"/>
        </w:rPr>
        <w:t>面试设置合格线：60分，面试低于60分不予录用。</w:t>
      </w:r>
    </w:p>
    <w:p w14:paraId="333E1298">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笔、面试具体时间、地点后期以短信、邮件等形式发送至相关人员，请保持联系方式畅通。</w:t>
      </w:r>
    </w:p>
    <w:p w14:paraId="4D0BC99A">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笔试、面试均不指定辅导用书，不举办也不委托任何机构举办辅导培训班。</w:t>
      </w:r>
    </w:p>
    <w:p w14:paraId="07B88958">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（五）</w:t>
      </w:r>
      <w:r>
        <w:rPr>
          <w:rFonts w:hint="eastAsia" w:eastAsia="仿宋_GB2312" w:cs="Times New Roman"/>
          <w:sz w:val="32"/>
          <w:szCs w:val="32"/>
          <w:highlight w:val="none"/>
          <w:lang w:val="en-US" w:eastAsia="zh-CN"/>
        </w:rPr>
        <w:t>背景调查及审查</w:t>
      </w:r>
    </w:p>
    <w:p w14:paraId="69AC88DD">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通过面试的应聘人员提交相关证明材料，根据岗位需求进行背景调查、审查。</w:t>
      </w:r>
      <w:r>
        <w:rPr>
          <w:rFonts w:hint="eastAsia" w:eastAsia="仿宋_GB2312" w:cs="Times New Roman"/>
          <w:sz w:val="32"/>
          <w:szCs w:val="32"/>
          <w:highlight w:val="none"/>
          <w:lang w:val="en-US" w:eastAsia="zh-CN"/>
        </w:rPr>
        <w:t>背景调查及审查</w:t>
      </w:r>
      <w:r>
        <w:rPr>
          <w:rFonts w:hint="eastAsia" w:ascii="仿宋_GB2312" w:hAnsi="仿宋_GB2312" w:eastAsia="仿宋_GB2312" w:cs="仿宋_GB2312"/>
          <w:sz w:val="32"/>
          <w:szCs w:val="32"/>
          <w:highlight w:val="none"/>
          <w:lang w:val="en-US" w:eastAsia="zh-CN"/>
        </w:rPr>
        <w:t>不合格的，不予录用。</w:t>
      </w:r>
    </w:p>
    <w:p w14:paraId="5930EDBC">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color w:val="auto"/>
          <w:sz w:val="32"/>
          <w:szCs w:val="32"/>
          <w:highlight w:val="none"/>
        </w:rPr>
        <w:t>因应聘人员放弃</w:t>
      </w:r>
      <w:r>
        <w:rPr>
          <w:rFonts w:hint="eastAsia" w:eastAsia="仿宋_GB2312" w:cs="Times New Roman"/>
          <w:sz w:val="32"/>
          <w:szCs w:val="32"/>
          <w:highlight w:val="none"/>
          <w:lang w:val="en-US" w:eastAsia="zh-CN"/>
        </w:rPr>
        <w:t>背景调查及审查</w:t>
      </w:r>
      <w:r>
        <w:rPr>
          <w:rFonts w:hint="eastAsia" w:ascii="仿宋_GB2312" w:hAnsi="仿宋_GB2312" w:eastAsia="仿宋_GB2312" w:cs="仿宋_GB2312"/>
          <w:color w:val="auto"/>
          <w:sz w:val="32"/>
          <w:szCs w:val="32"/>
          <w:highlight w:val="none"/>
        </w:rPr>
        <w:t>，或</w:t>
      </w:r>
      <w:r>
        <w:rPr>
          <w:rFonts w:hint="eastAsia" w:ascii="仿宋_GB2312" w:hAnsi="仿宋_GB2312" w:eastAsia="仿宋_GB2312" w:cs="仿宋_GB2312"/>
          <w:color w:val="auto"/>
          <w:sz w:val="32"/>
          <w:szCs w:val="32"/>
          <w:highlight w:val="none"/>
          <w:lang w:val="en-US" w:eastAsia="zh-CN"/>
        </w:rPr>
        <w:t>背景调查、审查</w:t>
      </w:r>
      <w:r>
        <w:rPr>
          <w:rFonts w:hint="eastAsia" w:ascii="仿宋_GB2312" w:hAnsi="仿宋_GB2312" w:eastAsia="仿宋_GB2312" w:cs="仿宋_GB2312"/>
          <w:color w:val="auto"/>
          <w:sz w:val="32"/>
          <w:szCs w:val="32"/>
          <w:highlight w:val="none"/>
        </w:rPr>
        <w:t>不符合要求等情况造成的</w:t>
      </w:r>
      <w:r>
        <w:rPr>
          <w:rFonts w:hint="eastAsia" w:ascii="仿宋_GB2312" w:hAnsi="仿宋_GB2312" w:eastAsia="仿宋_GB2312" w:cs="仿宋_GB2312"/>
          <w:color w:val="auto"/>
          <w:sz w:val="32"/>
          <w:szCs w:val="32"/>
          <w:highlight w:val="none"/>
          <w:lang w:val="en-US" w:eastAsia="zh-CN"/>
        </w:rPr>
        <w:t>招聘</w:t>
      </w:r>
      <w:r>
        <w:rPr>
          <w:rFonts w:hint="eastAsia" w:ascii="仿宋_GB2312" w:hAnsi="仿宋_GB2312" w:eastAsia="仿宋_GB2312" w:cs="仿宋_GB2312"/>
          <w:color w:val="auto"/>
          <w:sz w:val="32"/>
          <w:szCs w:val="32"/>
          <w:highlight w:val="none"/>
        </w:rPr>
        <w:t>计划空缺，在应聘该岗位面试合格人员中按</w:t>
      </w:r>
      <w:r>
        <w:rPr>
          <w:rFonts w:hint="eastAsia" w:ascii="仿宋_GB2312" w:hAnsi="仿宋_GB2312" w:eastAsia="仿宋_GB2312" w:cs="仿宋_GB2312"/>
          <w:color w:val="auto"/>
          <w:sz w:val="32"/>
          <w:szCs w:val="32"/>
          <w:highlight w:val="none"/>
          <w:lang w:val="en-US" w:eastAsia="zh-CN"/>
        </w:rPr>
        <w:t>面试</w:t>
      </w:r>
      <w:r>
        <w:rPr>
          <w:rFonts w:hint="eastAsia" w:ascii="仿宋_GB2312" w:hAnsi="仿宋_GB2312" w:eastAsia="仿宋_GB2312" w:cs="仿宋_GB2312"/>
          <w:color w:val="auto"/>
          <w:sz w:val="32"/>
          <w:szCs w:val="32"/>
          <w:highlight w:val="none"/>
        </w:rPr>
        <w:t>成绩从高分到低分递补</w:t>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lang w:val="en-US" w:eastAsia="zh-CN"/>
        </w:rPr>
        <w:t>面试</w:t>
      </w:r>
      <w:r>
        <w:rPr>
          <w:rFonts w:hint="eastAsia" w:ascii="仿宋_GB2312" w:hAnsi="仿宋_GB2312" w:eastAsia="仿宋_GB2312" w:cs="仿宋_GB2312"/>
          <w:color w:val="auto"/>
          <w:sz w:val="32"/>
          <w:szCs w:val="32"/>
          <w:highlight w:val="none"/>
        </w:rPr>
        <w:t>成绩并列的，</w:t>
      </w:r>
      <w:r>
        <w:rPr>
          <w:rFonts w:hint="eastAsia" w:ascii="仿宋_GB2312" w:hAnsi="仿宋_GB2312" w:eastAsia="仿宋_GB2312" w:cs="仿宋_GB2312"/>
          <w:color w:val="auto"/>
          <w:sz w:val="32"/>
          <w:szCs w:val="32"/>
          <w:highlight w:val="none"/>
          <w:lang w:val="en-US" w:eastAsia="zh-CN"/>
        </w:rPr>
        <w:t>笔试</w:t>
      </w:r>
      <w:r>
        <w:rPr>
          <w:rFonts w:hint="eastAsia" w:ascii="仿宋_GB2312" w:hAnsi="仿宋_GB2312" w:eastAsia="仿宋_GB2312" w:cs="仿宋_GB2312"/>
          <w:color w:val="auto"/>
          <w:sz w:val="32"/>
          <w:szCs w:val="32"/>
          <w:highlight w:val="none"/>
        </w:rPr>
        <w:t>成绩高者</w:t>
      </w:r>
      <w:r>
        <w:rPr>
          <w:rFonts w:hint="eastAsia" w:ascii="仿宋_GB2312" w:hAnsi="仿宋_GB2312" w:eastAsia="仿宋_GB2312" w:cs="仿宋_GB2312"/>
          <w:color w:val="auto"/>
          <w:sz w:val="32"/>
          <w:szCs w:val="32"/>
          <w:highlight w:val="none"/>
          <w:lang w:val="en-US" w:eastAsia="zh-CN"/>
        </w:rPr>
        <w:t>进入，若递补人员面试成绩不达合格线，则取消递补资格。</w:t>
      </w:r>
    </w:p>
    <w:p w14:paraId="120BEFB4">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（六）体检</w:t>
      </w:r>
    </w:p>
    <w:p w14:paraId="533ED442">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通过背景调查及审查的人员，根据用人单位安排，统一参加体检。体检不合格的，不予录用。</w:t>
      </w:r>
    </w:p>
    <w:p w14:paraId="30C95648">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rPr>
        <w:t>因应聘人员放弃体检</w:t>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rPr>
        <w:t>体检不合格等情况造成的</w:t>
      </w:r>
      <w:r>
        <w:rPr>
          <w:rFonts w:hint="eastAsia" w:ascii="仿宋_GB2312" w:hAnsi="仿宋_GB2312" w:eastAsia="仿宋_GB2312" w:cs="仿宋_GB2312"/>
          <w:color w:val="auto"/>
          <w:sz w:val="32"/>
          <w:szCs w:val="32"/>
          <w:highlight w:val="none"/>
          <w:lang w:val="en-US" w:eastAsia="zh-CN"/>
        </w:rPr>
        <w:t>招聘</w:t>
      </w:r>
      <w:r>
        <w:rPr>
          <w:rFonts w:hint="eastAsia" w:ascii="仿宋_GB2312" w:hAnsi="仿宋_GB2312" w:eastAsia="仿宋_GB2312" w:cs="仿宋_GB2312"/>
          <w:color w:val="auto"/>
          <w:sz w:val="32"/>
          <w:szCs w:val="32"/>
          <w:highlight w:val="none"/>
        </w:rPr>
        <w:t>计划空缺，在应聘该岗位面试合格人员中按</w:t>
      </w:r>
      <w:r>
        <w:rPr>
          <w:rFonts w:hint="eastAsia" w:ascii="仿宋_GB2312" w:hAnsi="仿宋_GB2312" w:eastAsia="仿宋_GB2312" w:cs="仿宋_GB2312"/>
          <w:color w:val="auto"/>
          <w:sz w:val="32"/>
          <w:szCs w:val="32"/>
          <w:highlight w:val="none"/>
          <w:lang w:val="en-US" w:eastAsia="zh-CN"/>
        </w:rPr>
        <w:t>面试</w:t>
      </w:r>
      <w:r>
        <w:rPr>
          <w:rFonts w:hint="eastAsia" w:ascii="仿宋_GB2312" w:hAnsi="仿宋_GB2312" w:eastAsia="仿宋_GB2312" w:cs="仿宋_GB2312"/>
          <w:color w:val="auto"/>
          <w:sz w:val="32"/>
          <w:szCs w:val="32"/>
          <w:highlight w:val="none"/>
        </w:rPr>
        <w:t>成绩从高分到低分递补</w:t>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lang w:val="en-US" w:eastAsia="zh-CN"/>
        </w:rPr>
        <w:t>面试</w:t>
      </w:r>
      <w:r>
        <w:rPr>
          <w:rFonts w:hint="eastAsia" w:ascii="仿宋_GB2312" w:hAnsi="仿宋_GB2312" w:eastAsia="仿宋_GB2312" w:cs="仿宋_GB2312"/>
          <w:color w:val="auto"/>
          <w:sz w:val="32"/>
          <w:szCs w:val="32"/>
          <w:highlight w:val="none"/>
        </w:rPr>
        <w:t>成绩并列的，</w:t>
      </w:r>
      <w:r>
        <w:rPr>
          <w:rFonts w:hint="eastAsia" w:ascii="仿宋_GB2312" w:hAnsi="仿宋_GB2312" w:eastAsia="仿宋_GB2312" w:cs="仿宋_GB2312"/>
          <w:color w:val="auto"/>
          <w:sz w:val="32"/>
          <w:szCs w:val="32"/>
          <w:highlight w:val="none"/>
          <w:lang w:val="en-US" w:eastAsia="zh-CN"/>
        </w:rPr>
        <w:t>笔试</w:t>
      </w:r>
      <w:r>
        <w:rPr>
          <w:rFonts w:hint="eastAsia" w:ascii="仿宋_GB2312" w:hAnsi="仿宋_GB2312" w:eastAsia="仿宋_GB2312" w:cs="仿宋_GB2312"/>
          <w:color w:val="auto"/>
          <w:sz w:val="32"/>
          <w:szCs w:val="32"/>
          <w:highlight w:val="none"/>
        </w:rPr>
        <w:t>成绩高者</w:t>
      </w:r>
      <w:r>
        <w:rPr>
          <w:rFonts w:hint="eastAsia" w:ascii="仿宋_GB2312" w:hAnsi="仿宋_GB2312" w:eastAsia="仿宋_GB2312" w:cs="仿宋_GB2312"/>
          <w:color w:val="auto"/>
          <w:sz w:val="32"/>
          <w:szCs w:val="32"/>
          <w:highlight w:val="none"/>
          <w:lang w:val="en-US" w:eastAsia="zh-CN"/>
        </w:rPr>
        <w:t>进入，若递补人员面试成绩不达合格线，则取消递补资格。</w:t>
      </w:r>
    </w:p>
    <w:p w14:paraId="3F9DF77A">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（七）公示</w:t>
      </w:r>
    </w:p>
    <w:p w14:paraId="7A4F9E05">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rPr>
        <w:t>体检合格的应聘人员确定为拟录用人</w:t>
      </w:r>
      <w:r>
        <w:rPr>
          <w:rFonts w:hint="eastAsia" w:ascii="仿宋_GB2312" w:hAnsi="仿宋_GB2312" w:eastAsia="仿宋_GB2312" w:cs="仿宋_GB2312"/>
          <w:color w:val="auto"/>
          <w:sz w:val="32"/>
          <w:szCs w:val="32"/>
          <w:highlight w:val="none"/>
          <w:lang w:val="en-US" w:eastAsia="zh-CN"/>
        </w:rPr>
        <w:t>员，</w:t>
      </w:r>
      <w:r>
        <w:rPr>
          <w:rFonts w:hint="eastAsia" w:ascii="仿宋_GB2312" w:hAnsi="仿宋_GB2312" w:eastAsia="仿宋_GB2312" w:cs="仿宋_GB2312"/>
          <w:color w:val="auto"/>
          <w:sz w:val="32"/>
          <w:szCs w:val="32"/>
          <w:highlight w:val="none"/>
        </w:rPr>
        <w:t>在</w:t>
      </w:r>
      <w:r>
        <w:rPr>
          <w:rFonts w:hint="eastAsia" w:eastAsia="仿宋_GB2312" w:cs="Times New Roman"/>
          <w:sz w:val="32"/>
          <w:szCs w:val="32"/>
          <w:highlight w:val="none"/>
          <w:lang w:val="en-US" w:eastAsia="zh-CN"/>
        </w:rPr>
        <w:t>天津渤海轻工投资集团有限公司</w:t>
      </w:r>
      <w:r>
        <w:rPr>
          <w:rFonts w:hint="default" w:ascii="Times New Roman" w:hAnsi="Times New Roman" w:eastAsia="仿宋_GB2312" w:cs="Times New Roman"/>
          <w:sz w:val="32"/>
          <w:szCs w:val="32"/>
          <w:highlight w:val="none"/>
          <w:lang w:val="en-US" w:eastAsia="zh-CN"/>
        </w:rPr>
        <w:t>官网</w:t>
      </w:r>
      <w:r>
        <w:rPr>
          <w:rFonts w:hint="eastAsia" w:ascii="仿宋_GB2312" w:hAnsi="仿宋_GB2312" w:eastAsia="仿宋_GB2312" w:cs="仿宋_GB2312"/>
          <w:color w:val="auto"/>
          <w:sz w:val="32"/>
          <w:szCs w:val="32"/>
          <w:highlight w:val="none"/>
          <w:lang w:eastAsia="zh-CN"/>
        </w:rPr>
        <w:t>（</w:t>
      </w:r>
      <w:r>
        <w:rPr>
          <w:rFonts w:hint="default" w:ascii="Times New Roman" w:hAnsi="Times New Roman" w:eastAsia="仿宋_GB2312" w:cs="Times New Roman"/>
          <w:sz w:val="32"/>
          <w:szCs w:val="32"/>
          <w:highlight w:val="none"/>
          <w:lang w:val="en-US" w:eastAsia="zh-CN"/>
        </w:rPr>
        <w:fldChar w:fldCharType="begin"/>
      </w:r>
      <w:r>
        <w:rPr>
          <w:rFonts w:hint="default" w:ascii="Times New Roman" w:hAnsi="Times New Roman" w:eastAsia="仿宋_GB2312" w:cs="Times New Roman"/>
          <w:sz w:val="32"/>
          <w:szCs w:val="32"/>
          <w:highlight w:val="none"/>
          <w:lang w:val="en-US" w:eastAsia="zh-CN"/>
        </w:rPr>
        <w:instrText xml:space="preserve"> HYPERLINK "https://www.bhqgtz.com/" </w:instrText>
      </w:r>
      <w:r>
        <w:rPr>
          <w:rFonts w:hint="default" w:ascii="Times New Roman" w:hAnsi="Times New Roman" w:eastAsia="仿宋_GB2312" w:cs="Times New Roman"/>
          <w:sz w:val="32"/>
          <w:szCs w:val="32"/>
          <w:highlight w:val="none"/>
          <w:lang w:val="en-US" w:eastAsia="zh-CN"/>
        </w:rPr>
        <w:fldChar w:fldCharType="separate"/>
      </w:r>
      <w:r>
        <w:rPr>
          <w:rStyle w:val="10"/>
          <w:rFonts w:hint="default" w:ascii="Times New Roman" w:hAnsi="Times New Roman" w:eastAsia="仿宋_GB2312" w:cs="Times New Roman"/>
          <w:sz w:val="32"/>
          <w:szCs w:val="32"/>
          <w:highlight w:val="none"/>
          <w:lang w:val="en-US" w:eastAsia="zh-CN"/>
        </w:rPr>
        <w:t>https://www.bhqgtz.com/</w:t>
      </w:r>
      <w:r>
        <w:rPr>
          <w:rFonts w:hint="default" w:ascii="Times New Roman" w:hAnsi="Times New Roman" w:eastAsia="仿宋_GB2312" w:cs="Times New Roman"/>
          <w:sz w:val="32"/>
          <w:szCs w:val="32"/>
          <w:highlight w:val="none"/>
          <w:lang w:val="en-US" w:eastAsia="zh-CN"/>
        </w:rPr>
        <w:fldChar w:fldCharType="end"/>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rPr>
        <w:t>进行公示，公示期为7天</w:t>
      </w:r>
      <w:r>
        <w:rPr>
          <w:rFonts w:hint="eastAsia" w:ascii="仿宋_GB2312" w:hAnsi="仿宋_GB2312" w:eastAsia="仿宋_GB2312" w:cs="仿宋_GB2312"/>
          <w:color w:val="auto"/>
          <w:sz w:val="32"/>
          <w:szCs w:val="32"/>
          <w:highlight w:val="none"/>
          <w:lang w:eastAsia="zh-CN"/>
        </w:rPr>
        <w:t>。</w:t>
      </w:r>
    </w:p>
    <w:p w14:paraId="4DCC12B8">
      <w:pPr>
        <w:keepNext w:val="0"/>
        <w:keepLines w:val="0"/>
        <w:pageBreakBefore w:val="0"/>
        <w:widowControl/>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kern w:val="2"/>
          <w:sz w:val="32"/>
          <w:szCs w:val="32"/>
          <w:highlight w:val="none"/>
          <w:lang w:val="en-US" w:eastAsia="zh-CN" w:bidi="ar-SA"/>
        </w:rPr>
        <w:t>（八）</w:t>
      </w:r>
      <w:r>
        <w:rPr>
          <w:rFonts w:hint="eastAsia" w:ascii="仿宋_GB2312" w:hAnsi="仿宋_GB2312" w:eastAsia="仿宋_GB2312" w:cs="仿宋_GB2312"/>
          <w:sz w:val="32"/>
          <w:szCs w:val="32"/>
          <w:highlight w:val="none"/>
          <w:lang w:val="en-US" w:eastAsia="zh-CN"/>
        </w:rPr>
        <w:t>签订三方协议并入职</w:t>
      </w:r>
    </w:p>
    <w:p w14:paraId="3A37FDCD">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公示后若出现拟录用人员主动放弃录用资格或因其他情况无法实际录用的</w:t>
      </w:r>
      <w:r>
        <w:rPr>
          <w:rFonts w:hint="eastAsia" w:ascii="仿宋_GB2312" w:hAnsi="仿宋_GB2312" w:eastAsia="仿宋_GB2312" w:cs="仿宋_GB2312"/>
          <w:color w:val="auto"/>
          <w:sz w:val="32"/>
          <w:szCs w:val="32"/>
          <w:highlight w:val="none"/>
        </w:rPr>
        <w:t>，在应聘该岗位面试合格人员中按</w:t>
      </w:r>
      <w:r>
        <w:rPr>
          <w:rFonts w:hint="eastAsia" w:ascii="仿宋_GB2312" w:hAnsi="仿宋_GB2312" w:eastAsia="仿宋_GB2312" w:cs="仿宋_GB2312"/>
          <w:color w:val="auto"/>
          <w:sz w:val="32"/>
          <w:szCs w:val="32"/>
          <w:highlight w:val="none"/>
          <w:lang w:val="en-US" w:eastAsia="zh-CN"/>
        </w:rPr>
        <w:t>面试</w:t>
      </w:r>
      <w:r>
        <w:rPr>
          <w:rFonts w:hint="eastAsia" w:ascii="仿宋_GB2312" w:hAnsi="仿宋_GB2312" w:eastAsia="仿宋_GB2312" w:cs="仿宋_GB2312"/>
          <w:color w:val="auto"/>
          <w:sz w:val="32"/>
          <w:szCs w:val="32"/>
          <w:highlight w:val="none"/>
        </w:rPr>
        <w:t>成绩从高分到低分递补</w:t>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lang w:val="en-US" w:eastAsia="zh-CN"/>
        </w:rPr>
        <w:t>面试</w:t>
      </w:r>
      <w:r>
        <w:rPr>
          <w:rFonts w:hint="eastAsia" w:ascii="仿宋_GB2312" w:hAnsi="仿宋_GB2312" w:eastAsia="仿宋_GB2312" w:cs="仿宋_GB2312"/>
          <w:color w:val="auto"/>
          <w:sz w:val="32"/>
          <w:szCs w:val="32"/>
          <w:highlight w:val="none"/>
        </w:rPr>
        <w:t>成绩并列的，</w:t>
      </w:r>
      <w:r>
        <w:rPr>
          <w:rFonts w:hint="eastAsia" w:ascii="仿宋_GB2312" w:hAnsi="仿宋_GB2312" w:eastAsia="仿宋_GB2312" w:cs="仿宋_GB2312"/>
          <w:color w:val="auto"/>
          <w:sz w:val="32"/>
          <w:szCs w:val="32"/>
          <w:highlight w:val="none"/>
          <w:lang w:val="en-US" w:eastAsia="zh-CN"/>
        </w:rPr>
        <w:t>笔试</w:t>
      </w:r>
      <w:r>
        <w:rPr>
          <w:rFonts w:hint="eastAsia" w:ascii="仿宋_GB2312" w:hAnsi="仿宋_GB2312" w:eastAsia="仿宋_GB2312" w:cs="仿宋_GB2312"/>
          <w:color w:val="auto"/>
          <w:sz w:val="32"/>
          <w:szCs w:val="32"/>
          <w:highlight w:val="none"/>
        </w:rPr>
        <w:t>成绩高者</w:t>
      </w:r>
      <w:r>
        <w:rPr>
          <w:rFonts w:hint="eastAsia" w:ascii="仿宋_GB2312" w:hAnsi="仿宋_GB2312" w:eastAsia="仿宋_GB2312" w:cs="仿宋_GB2312"/>
          <w:color w:val="auto"/>
          <w:sz w:val="32"/>
          <w:szCs w:val="32"/>
          <w:highlight w:val="none"/>
          <w:lang w:val="en-US" w:eastAsia="zh-CN"/>
        </w:rPr>
        <w:t>进入，若递补人员面试成绩不达合格线，则取消递补资格。</w:t>
      </w:r>
    </w:p>
    <w:p w14:paraId="10A47FE9">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公示期满后根据用人单位安排，签订三方协议。按期到就职单位报到，签合同、办理入职手续。</w:t>
      </w:r>
    </w:p>
    <w:p w14:paraId="76860EB4">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黑体" w:cs="Times New Roman"/>
          <w:color w:val="000000"/>
          <w:kern w:val="2"/>
          <w:sz w:val="32"/>
          <w:szCs w:val="32"/>
          <w:highlight w:val="none"/>
          <w:lang w:val="en-US" w:eastAsia="zh-CN" w:bidi="ar-SA"/>
        </w:rPr>
      </w:pPr>
      <w:r>
        <w:rPr>
          <w:rFonts w:hint="eastAsia" w:eastAsia="黑体" w:cs="Times New Roman"/>
          <w:color w:val="000000"/>
          <w:kern w:val="2"/>
          <w:sz w:val="32"/>
          <w:szCs w:val="32"/>
          <w:highlight w:val="none"/>
          <w:lang w:val="en-US" w:eastAsia="zh-CN" w:bidi="ar-SA"/>
        </w:rPr>
        <w:t>六</w:t>
      </w:r>
      <w:r>
        <w:rPr>
          <w:rFonts w:hint="default" w:ascii="Times New Roman" w:hAnsi="Times New Roman" w:eastAsia="黑体" w:cs="Times New Roman"/>
          <w:color w:val="000000"/>
          <w:kern w:val="2"/>
          <w:sz w:val="32"/>
          <w:szCs w:val="32"/>
          <w:highlight w:val="none"/>
          <w:lang w:val="en-US" w:eastAsia="zh-CN" w:bidi="ar-SA"/>
        </w:rPr>
        <w:t xml:space="preserve">、福利待遇 </w:t>
      </w:r>
    </w:p>
    <w:p w14:paraId="176C7C55">
      <w:pPr>
        <w:keepNext w:val="0"/>
        <w:keepLines w:val="0"/>
        <w:pageBreakBefore w:val="0"/>
        <w:widowControl/>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黑体" w:cs="Times New Roman"/>
          <w:color w:val="000000"/>
          <w:kern w:val="2"/>
          <w:sz w:val="32"/>
          <w:szCs w:val="32"/>
          <w:highlight w:val="none"/>
          <w:lang w:val="en-US" w:eastAsia="zh-CN" w:bidi="ar-SA"/>
        </w:rPr>
      </w:pPr>
      <w:r>
        <w:rPr>
          <w:rFonts w:hint="eastAsia" w:ascii="Times New Roman" w:hAnsi="Times New Roman" w:eastAsia="仿宋_GB2312" w:cs="Times New Roman"/>
          <w:sz w:val="32"/>
          <w:szCs w:val="32"/>
          <w:highlight w:val="none"/>
          <w:lang w:val="en-US" w:eastAsia="zh-CN"/>
        </w:rPr>
        <w:t>五险一金，防暑降温费，采暖费，带薪年假，节日福利等</w:t>
      </w:r>
      <w:r>
        <w:rPr>
          <w:rFonts w:hint="eastAsia" w:eastAsia="仿宋_GB2312" w:cs="Times New Roman"/>
          <w:sz w:val="32"/>
          <w:szCs w:val="32"/>
          <w:highlight w:val="none"/>
          <w:lang w:val="en-US" w:eastAsia="zh-CN"/>
        </w:rPr>
        <w:t>，具体工资待遇按照用人单位薪酬体系确定。</w:t>
      </w:r>
    </w:p>
    <w:p w14:paraId="243C1388">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黑体" w:cs="Times New Roman"/>
          <w:color w:val="000000"/>
          <w:kern w:val="2"/>
          <w:sz w:val="32"/>
          <w:szCs w:val="32"/>
          <w:highlight w:val="none"/>
          <w:lang w:val="en-US" w:eastAsia="zh-CN" w:bidi="ar-SA"/>
        </w:rPr>
      </w:pPr>
      <w:r>
        <w:rPr>
          <w:rFonts w:hint="eastAsia" w:eastAsia="黑体" w:cs="Times New Roman"/>
          <w:color w:val="000000"/>
          <w:kern w:val="2"/>
          <w:sz w:val="32"/>
          <w:szCs w:val="32"/>
          <w:highlight w:val="none"/>
          <w:lang w:val="en-US" w:eastAsia="zh-CN" w:bidi="ar-SA"/>
        </w:rPr>
        <w:t>七、其他</w:t>
      </w:r>
    </w:p>
    <w:p w14:paraId="7C5FE336">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sz w:val="32"/>
          <w:szCs w:val="32"/>
          <w:highlight w:val="none"/>
          <w:lang w:val="en-US" w:eastAsia="zh-CN"/>
        </w:rPr>
      </w:pPr>
      <w:r>
        <w:rPr>
          <w:rFonts w:hint="eastAsia" w:eastAsia="仿宋_GB2312" w:cs="Times New Roman"/>
          <w:sz w:val="32"/>
          <w:szCs w:val="32"/>
          <w:highlight w:val="none"/>
          <w:lang w:val="en-US" w:eastAsia="zh-CN"/>
        </w:rPr>
        <w:t>（一）天津渤海轻工投资集团有限公司</w:t>
      </w:r>
      <w:r>
        <w:rPr>
          <w:rFonts w:hint="default" w:ascii="Times New Roman" w:hAnsi="Times New Roman" w:eastAsia="仿宋_GB2312" w:cs="Times New Roman"/>
          <w:sz w:val="32"/>
          <w:szCs w:val="32"/>
          <w:highlight w:val="none"/>
          <w:lang w:val="en-US" w:eastAsia="zh-CN"/>
        </w:rPr>
        <w:t>官网</w:t>
      </w:r>
    </w:p>
    <w:p w14:paraId="39AA6D7C">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sz w:val="32"/>
          <w:szCs w:val="32"/>
          <w:highlight w:val="none"/>
          <w:lang w:val="en-US" w:eastAsia="zh-CN"/>
        </w:rPr>
      </w:pPr>
      <w:r>
        <w:rPr>
          <w:rFonts w:hint="default" w:ascii="Times New Roman" w:hAnsi="Times New Roman" w:eastAsia="仿宋_GB2312" w:cs="Times New Roman"/>
          <w:sz w:val="32"/>
          <w:szCs w:val="32"/>
          <w:highlight w:val="none"/>
          <w:lang w:val="en-US" w:eastAsia="zh-CN"/>
        </w:rPr>
        <w:fldChar w:fldCharType="begin"/>
      </w:r>
      <w:r>
        <w:rPr>
          <w:rFonts w:hint="default" w:ascii="Times New Roman" w:hAnsi="Times New Roman" w:eastAsia="仿宋_GB2312" w:cs="Times New Roman"/>
          <w:sz w:val="32"/>
          <w:szCs w:val="32"/>
          <w:highlight w:val="none"/>
          <w:lang w:val="en-US" w:eastAsia="zh-CN"/>
        </w:rPr>
        <w:instrText xml:space="preserve"> HYPERLINK "https://www.bhqgtz.com/" </w:instrText>
      </w:r>
      <w:r>
        <w:rPr>
          <w:rFonts w:hint="default" w:ascii="Times New Roman" w:hAnsi="Times New Roman" w:eastAsia="仿宋_GB2312" w:cs="Times New Roman"/>
          <w:sz w:val="32"/>
          <w:szCs w:val="32"/>
          <w:highlight w:val="none"/>
          <w:lang w:val="en-US" w:eastAsia="zh-CN"/>
        </w:rPr>
        <w:fldChar w:fldCharType="separate"/>
      </w:r>
      <w:r>
        <w:rPr>
          <w:rStyle w:val="10"/>
          <w:rFonts w:hint="default" w:ascii="Times New Roman" w:hAnsi="Times New Roman" w:eastAsia="仿宋_GB2312" w:cs="Times New Roman"/>
          <w:sz w:val="32"/>
          <w:szCs w:val="32"/>
          <w:highlight w:val="none"/>
          <w:lang w:val="en-US" w:eastAsia="zh-CN"/>
        </w:rPr>
        <w:t>https://www.bhqgtz.com/</w:t>
      </w:r>
      <w:r>
        <w:rPr>
          <w:rFonts w:hint="default" w:ascii="Times New Roman" w:hAnsi="Times New Roman" w:eastAsia="仿宋_GB2312" w:cs="Times New Roman"/>
          <w:sz w:val="32"/>
          <w:szCs w:val="32"/>
          <w:highlight w:val="none"/>
          <w:lang w:val="en-US" w:eastAsia="zh-CN"/>
        </w:rPr>
        <w:fldChar w:fldCharType="end"/>
      </w:r>
    </w:p>
    <w:p w14:paraId="337C9568">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eastAsia" w:eastAsia="仿宋_GB2312" w:cs="Times New Roman"/>
          <w:sz w:val="32"/>
          <w:szCs w:val="32"/>
          <w:highlight w:val="none"/>
          <w:lang w:val="en-US" w:eastAsia="zh-CN"/>
        </w:rPr>
      </w:pPr>
      <w:r>
        <w:rPr>
          <w:rFonts w:hint="eastAsia" w:eastAsia="仿宋_GB2312" w:cs="Times New Roman"/>
          <w:sz w:val="32"/>
          <w:szCs w:val="32"/>
          <w:highlight w:val="none"/>
          <w:lang w:val="en-US" w:eastAsia="zh-CN"/>
        </w:rPr>
        <w:t>（二）</w:t>
      </w:r>
      <w:r>
        <w:rPr>
          <w:rFonts w:hint="eastAsia" w:eastAsia="仿宋_GB2312" w:cs="Times New Roman"/>
          <w:kern w:val="2"/>
          <w:sz w:val="32"/>
          <w:szCs w:val="32"/>
          <w:highlight w:val="none"/>
          <w:lang w:val="en-US" w:eastAsia="zh-CN" w:bidi="ar-SA"/>
        </w:rPr>
        <w:t>本次招聘由天</w:t>
      </w:r>
      <w:r>
        <w:rPr>
          <w:rFonts w:hint="eastAsia" w:eastAsia="仿宋_GB2312" w:cs="Times New Roman"/>
          <w:sz w:val="32"/>
          <w:szCs w:val="32"/>
          <w:highlight w:val="none"/>
          <w:lang w:val="en-US" w:eastAsia="zh-CN"/>
        </w:rPr>
        <w:t>津渤海轻工投资集团有限公司保留最终解释权。</w:t>
      </w:r>
    </w:p>
    <w:p w14:paraId="0328898D">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sz w:val="32"/>
          <w:szCs w:val="32"/>
          <w:highlight w:val="none"/>
          <w:lang w:val="en-US" w:eastAsia="zh-CN"/>
        </w:rPr>
      </w:pPr>
      <w:r>
        <w:rPr>
          <w:rFonts w:hint="eastAsia" w:eastAsia="仿宋_GB2312" w:cs="Times New Roman"/>
          <w:kern w:val="2"/>
          <w:sz w:val="32"/>
          <w:szCs w:val="32"/>
          <w:highlight w:val="none"/>
          <w:lang w:val="en-US" w:eastAsia="zh-CN" w:bidi="ar-SA"/>
        </w:rPr>
        <w:t>（三）岗位</w:t>
      </w:r>
      <w:r>
        <w:rPr>
          <w:rFonts w:hint="default" w:ascii="Times New Roman" w:hAnsi="Times New Roman" w:eastAsia="仿宋_GB2312" w:cs="Times New Roman"/>
          <w:sz w:val="32"/>
          <w:szCs w:val="32"/>
          <w:highlight w:val="none"/>
          <w:lang w:val="en-US" w:eastAsia="zh-CN"/>
        </w:rPr>
        <w:t>咨询</w:t>
      </w:r>
    </w:p>
    <w:p w14:paraId="3B5B9DDA">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sz w:val="32"/>
          <w:szCs w:val="32"/>
          <w:highlight w:val="none"/>
          <w:lang w:val="en-US" w:eastAsia="zh-CN"/>
        </w:rPr>
      </w:pPr>
      <w:r>
        <w:rPr>
          <w:rFonts w:hint="eastAsia" w:eastAsia="仿宋_GB2312" w:cs="Times New Roman"/>
          <w:sz w:val="32"/>
          <w:szCs w:val="32"/>
          <w:highlight w:val="none"/>
          <w:lang w:val="en-US" w:eastAsia="zh-CN"/>
        </w:rPr>
        <w:t>1.咨询电话：022-58703000转85805</w:t>
      </w:r>
    </w:p>
    <w:p w14:paraId="586449F8">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eastAsia" w:eastAsia="仿宋_GB2312" w:cs="Times New Roman"/>
          <w:kern w:val="2"/>
          <w:sz w:val="32"/>
          <w:szCs w:val="32"/>
          <w:highlight w:val="none"/>
          <w:lang w:val="en-US" w:eastAsia="zh-CN" w:bidi="ar-SA"/>
        </w:rPr>
      </w:pPr>
      <w:r>
        <w:rPr>
          <w:rFonts w:hint="eastAsia" w:eastAsia="仿宋_GB2312" w:cs="Times New Roman"/>
          <w:sz w:val="32"/>
          <w:szCs w:val="32"/>
          <w:highlight w:val="none"/>
          <w:lang w:val="en-US" w:eastAsia="zh-CN"/>
        </w:rPr>
        <w:t>2.</w:t>
      </w:r>
      <w:r>
        <w:rPr>
          <w:rFonts w:hint="default" w:ascii="Times New Roman" w:hAnsi="Times New Roman" w:eastAsia="仿宋_GB2312" w:cs="Times New Roman"/>
          <w:sz w:val="32"/>
          <w:szCs w:val="32"/>
          <w:highlight w:val="none"/>
          <w:lang w:val="en-US" w:eastAsia="zh-CN"/>
        </w:rPr>
        <w:t>咨询时间</w:t>
      </w:r>
      <w:r>
        <w:rPr>
          <w:rFonts w:hint="eastAsia" w:eastAsia="仿宋_GB2312" w:cs="Times New Roman"/>
          <w:sz w:val="32"/>
          <w:szCs w:val="32"/>
          <w:highlight w:val="none"/>
          <w:lang w:val="en-US" w:eastAsia="zh-CN"/>
        </w:rPr>
        <w:t>：</w:t>
      </w:r>
      <w:r>
        <w:rPr>
          <w:rFonts w:hint="default" w:ascii="Times New Roman" w:hAnsi="Times New Roman" w:eastAsia="仿宋_GB2312" w:cs="Times New Roman"/>
          <w:kern w:val="2"/>
          <w:sz w:val="32"/>
          <w:szCs w:val="32"/>
          <w:highlight w:val="none"/>
          <w:lang w:val="en-US" w:eastAsia="zh-CN" w:bidi="ar-SA"/>
        </w:rPr>
        <w:t>8:00-1</w:t>
      </w:r>
      <w:r>
        <w:rPr>
          <w:rFonts w:hint="eastAsia" w:ascii="Times New Roman" w:hAnsi="Times New Roman" w:eastAsia="仿宋_GB2312" w:cs="Times New Roman"/>
          <w:kern w:val="2"/>
          <w:sz w:val="32"/>
          <w:szCs w:val="32"/>
          <w:highlight w:val="none"/>
          <w:lang w:val="en-US" w:eastAsia="zh-CN" w:bidi="ar-SA"/>
        </w:rPr>
        <w:t>2</w:t>
      </w:r>
      <w:r>
        <w:rPr>
          <w:rFonts w:hint="default" w:ascii="Times New Roman" w:hAnsi="Times New Roman" w:eastAsia="仿宋_GB2312" w:cs="Times New Roman"/>
          <w:kern w:val="2"/>
          <w:sz w:val="32"/>
          <w:szCs w:val="32"/>
          <w:highlight w:val="none"/>
          <w:lang w:val="en-US" w:eastAsia="zh-CN" w:bidi="ar-SA"/>
        </w:rPr>
        <w:t>:</w:t>
      </w:r>
      <w:r>
        <w:rPr>
          <w:rFonts w:hint="eastAsia" w:ascii="Times New Roman" w:hAnsi="Times New Roman" w:eastAsia="仿宋_GB2312" w:cs="Times New Roman"/>
          <w:kern w:val="2"/>
          <w:sz w:val="32"/>
          <w:szCs w:val="32"/>
          <w:highlight w:val="none"/>
          <w:lang w:val="en-US" w:eastAsia="zh-CN" w:bidi="ar-SA"/>
        </w:rPr>
        <w:t>0</w:t>
      </w:r>
      <w:r>
        <w:rPr>
          <w:rFonts w:hint="default" w:ascii="Times New Roman" w:hAnsi="Times New Roman" w:eastAsia="仿宋_GB2312" w:cs="Times New Roman"/>
          <w:kern w:val="2"/>
          <w:sz w:val="32"/>
          <w:szCs w:val="32"/>
          <w:highlight w:val="none"/>
          <w:lang w:val="en-US" w:eastAsia="zh-CN" w:bidi="ar-SA"/>
        </w:rPr>
        <w:t xml:space="preserve">0，13:00-17:00 </w:t>
      </w:r>
      <w:r>
        <w:rPr>
          <w:rFonts w:hint="eastAsia" w:eastAsia="仿宋_GB2312" w:cs="Times New Roman"/>
          <w:kern w:val="2"/>
          <w:sz w:val="32"/>
          <w:szCs w:val="32"/>
          <w:highlight w:val="none"/>
          <w:lang w:val="en-US" w:eastAsia="zh-CN" w:bidi="ar-SA"/>
        </w:rPr>
        <w:t>（</w:t>
      </w:r>
      <w:r>
        <w:rPr>
          <w:rFonts w:hint="default" w:ascii="Times New Roman" w:hAnsi="Times New Roman" w:eastAsia="仿宋_GB2312" w:cs="Times New Roman"/>
          <w:kern w:val="2"/>
          <w:sz w:val="32"/>
          <w:szCs w:val="32"/>
          <w:highlight w:val="none"/>
          <w:lang w:val="en-US" w:eastAsia="zh-CN" w:bidi="ar-SA"/>
        </w:rPr>
        <w:t>法定工作日</w:t>
      </w:r>
      <w:r>
        <w:rPr>
          <w:rFonts w:hint="eastAsia" w:eastAsia="仿宋_GB2312" w:cs="Times New Roman"/>
          <w:kern w:val="2"/>
          <w:sz w:val="32"/>
          <w:szCs w:val="32"/>
          <w:highlight w:val="none"/>
          <w:lang w:val="en-US" w:eastAsia="zh-CN" w:bidi="ar-SA"/>
        </w:rPr>
        <w:t>）</w:t>
      </w:r>
    </w:p>
    <w:p w14:paraId="59BE4C0F">
      <w:pPr>
        <w:keepNext w:val="0"/>
        <w:keepLines w:val="0"/>
        <w:pageBreakBefore w:val="0"/>
        <w:numPr>
          <w:ilvl w:val="0"/>
          <w:numId w:val="0"/>
        </w:numPr>
        <w:kinsoku/>
        <w:wordWrap/>
        <w:overflowPunct/>
        <w:topLinePunct w:val="0"/>
        <w:autoSpaceDE/>
        <w:autoSpaceDN/>
        <w:bidi w:val="0"/>
        <w:adjustRightInd/>
        <w:snapToGrid/>
        <w:spacing w:line="560" w:lineRule="exact"/>
        <w:jc w:val="both"/>
        <w:textAlignment w:val="auto"/>
        <w:rPr>
          <w:rFonts w:hint="default" w:eastAsia="仿宋_GB2312" w:cs="Times New Roman"/>
          <w:kern w:val="2"/>
          <w:sz w:val="32"/>
          <w:szCs w:val="32"/>
          <w:highlight w:val="none"/>
          <w:lang w:val="en-US" w:eastAsia="zh-CN" w:bidi="ar-SA"/>
        </w:rPr>
      </w:pPr>
    </w:p>
    <w:p w14:paraId="141550F7">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highlight w:val="none"/>
          <w:lang w:eastAsia="zh-CN"/>
        </w:rPr>
      </w:pPr>
    </w:p>
    <w:p w14:paraId="75DBC23C">
      <w:pPr>
        <w:keepNext w:val="0"/>
        <w:keepLines w:val="0"/>
        <w:pageBreakBefore w:val="0"/>
        <w:kinsoku/>
        <w:wordWrap/>
        <w:overflowPunct/>
        <w:topLinePunct w:val="0"/>
        <w:autoSpaceDE/>
        <w:autoSpaceDN/>
        <w:bidi w:val="0"/>
        <w:adjustRightInd/>
        <w:snapToGrid/>
        <w:spacing w:line="560" w:lineRule="exact"/>
        <w:ind w:firstLine="640" w:firstLineChars="200"/>
        <w:jc w:val="right"/>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eastAsia="zh-CN"/>
        </w:rPr>
        <w:t>天津渤海轻工投资集团有限公司</w:t>
      </w:r>
    </w:p>
    <w:p w14:paraId="27A503A3">
      <w:pPr>
        <w:keepNext w:val="0"/>
        <w:keepLines w:val="0"/>
        <w:pageBreakBefore w:val="0"/>
        <w:kinsoku/>
        <w:wordWrap/>
        <w:overflowPunct/>
        <w:topLinePunct w:val="0"/>
        <w:autoSpaceDE/>
        <w:autoSpaceDN/>
        <w:bidi w:val="0"/>
        <w:adjustRightInd/>
        <w:snapToGrid/>
        <w:spacing w:line="560" w:lineRule="exact"/>
        <w:ind w:left="3780" w:leftChars="0" w:firstLine="420" w:firstLineChars="0"/>
        <w:jc w:val="right"/>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2025年4月</w:t>
      </w:r>
    </w:p>
    <w:sectPr>
      <w:headerReference r:id="rId3" w:type="default"/>
      <w:pgSz w:w="11906" w:h="16838"/>
      <w:pgMar w:top="993" w:right="1558" w:bottom="1440" w:left="1843" w:header="992"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EF" w:usb1="C0007841" w:usb2="00000009" w:usb3="00000000" w:csb0="400001FF" w:csb1="FFFF0000"/>
    <w:embedRegular r:id="rId1" w:fontKey="{6C2C86B6-5542-8574-CB36-F367EE130DE1}"/>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7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公文小标宋">
    <w:panose1 w:val="02000500000000000000"/>
    <w:charset w:val="86"/>
    <w:family w:val="auto"/>
    <w:pitch w:val="default"/>
    <w:sig w:usb0="A00002BF" w:usb1="38CF7CFA" w:usb2="00000016" w:usb3="00000000" w:csb0="00040001" w:csb1="00000000"/>
    <w:embedRegular r:id="rId2" w:fontKey="{AE714316-CA5A-6196-CB36-F3674C0978EC}"/>
  </w:font>
  <w:font w:name="Arial Unicode MS">
    <w:panose1 w:val="020B0604020202020204"/>
    <w:charset w:val="86"/>
    <w:family w:val="auto"/>
    <w:pitch w:val="default"/>
    <w:sig w:usb0="FFFFFFFF" w:usb1="E9FFFFFF" w:usb2="0000003F" w:usb3="00000000" w:csb0="603F01FF" w:csb1="FFFF0000"/>
    <w:embedRegular r:id="rId3" w:fontKey="{FCD8BD3E-21AE-268E-CB36-F36794D9B90E}"/>
  </w:font>
  <w:font w:name="仿宋_GB2312">
    <w:altName w:val="方正仿宋_GBK"/>
    <w:panose1 w:val="02010609030101010101"/>
    <w:charset w:val="86"/>
    <w:family w:val="auto"/>
    <w:pitch w:val="default"/>
    <w:sig w:usb0="00000000" w:usb1="00000000" w:usb2="00000000" w:usb3="00000000" w:csb0="00040000"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汉仪中黑KW">
    <w:panose1 w:val="00020600040101010101"/>
    <w:charset w:val="86"/>
    <w:family w:val="auto"/>
    <w:pitch w:val="default"/>
    <w:sig w:usb0="A00002BF" w:usb1="18EF7CFA" w:usb2="00000016" w:usb3="00000000" w:csb0="00040000" w:csb1="00000000"/>
  </w:font>
  <w:font w:name="方正仿宋_GBK">
    <w:panose1 w:val="02000000000000000000"/>
    <w:charset w:val="86"/>
    <w:family w:val="auto"/>
    <w:pitch w:val="default"/>
    <w:sig w:usb0="A00002BF" w:usb1="38CF7CFA" w:usb2="00082016" w:usb3="00000000" w:csb0="00040001" w:csb1="00000000"/>
  </w:font>
  <w:font w:name="Kingsoft Sign">
    <w:panose1 w:val="05050102010706020507"/>
    <w:charset w:val="00"/>
    <w:family w:val="auto"/>
    <w:pitch w:val="default"/>
    <w:sig w:usb0="00000000" w:usb1="10000000" w:usb2="00000000" w:usb3="00000000" w:csb0="00000001" w:csb1="00000000"/>
  </w:font>
  <w:font w:name="PingFang SC">
    <w:altName w:val="苹方-简"/>
    <w:panose1 w:val="00000000000000000000"/>
    <w:charset w:val="00"/>
    <w:family w:val="auto"/>
    <w:pitch w:val="default"/>
    <w:sig w:usb0="00000000" w:usb1="00000000" w:usb2="00000000" w:usb3="00000000" w:csb0="00000000" w:csb1="00000000"/>
  </w:font>
  <w:font w:name="Tahoma">
    <w:panose1 w:val="020B0804030504040204"/>
    <w:charset w:val="00"/>
    <w:family w:val="auto"/>
    <w:pitch w:val="default"/>
    <w:sig w:usb0="E1002AFF" w:usb1="C000605B" w:usb2="00000029" w:usb3="00000000" w:csb0="200101FF" w:csb1="20280000"/>
  </w:font>
  <w:font w:name="苹方-简">
    <w:altName w:val="Times New Roman"/>
    <w:panose1 w:val="020B0600000000000000"/>
    <w:charset w:val="00"/>
    <w:family w:val="auto"/>
    <w:pitch w:val="default"/>
    <w:sig w:usb0="A00002FF" w:usb1="7ACFFDFB" w:usb2="00000017" w:usb3="00000000" w:csb0="00040001" w:csb1="00000000"/>
  </w:font>
  <w:font w:name="宋体-简">
    <w:panose1 w:val="02010800040101010101"/>
    <w:charset w:val="86"/>
    <w:family w:val="auto"/>
    <w:pitch w:val="default"/>
    <w:sig w:usb0="00000001" w:usb1="080F0000" w:usb2="00000000" w:usb3="00000000" w:csb0="0004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32ED7A">
    <w:pPr>
      <w:pStyle w:val="5"/>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1"/>
  <w:doNotDisplayPageBoundaries w:val="1"/>
  <w:embedTrueTypeFonts/>
  <w:saveSubsetFonts/>
  <w:bordersDoNotSurroundHeader w:val="0"/>
  <w:bordersDoNotSurroundFooter w:val="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BDFF06C2"/>
    <w:rsid w:val="001F7F7E"/>
    <w:rsid w:val="002822BD"/>
    <w:rsid w:val="0083050D"/>
    <w:rsid w:val="00DA57BB"/>
    <w:rsid w:val="01527EDF"/>
    <w:rsid w:val="015476DB"/>
    <w:rsid w:val="01592D6B"/>
    <w:rsid w:val="018A58CB"/>
    <w:rsid w:val="02185707"/>
    <w:rsid w:val="02247ACE"/>
    <w:rsid w:val="028B5457"/>
    <w:rsid w:val="02B20C36"/>
    <w:rsid w:val="02BF77F6"/>
    <w:rsid w:val="02DA4630"/>
    <w:rsid w:val="02E903CF"/>
    <w:rsid w:val="031B2C7F"/>
    <w:rsid w:val="037929F8"/>
    <w:rsid w:val="03A951F3"/>
    <w:rsid w:val="03C055D4"/>
    <w:rsid w:val="03CE5F43"/>
    <w:rsid w:val="0405748B"/>
    <w:rsid w:val="042C2C6A"/>
    <w:rsid w:val="04657F2A"/>
    <w:rsid w:val="04A40A52"/>
    <w:rsid w:val="04B10BD0"/>
    <w:rsid w:val="050F6813"/>
    <w:rsid w:val="052B2F21"/>
    <w:rsid w:val="05713239"/>
    <w:rsid w:val="05A36F5B"/>
    <w:rsid w:val="05B0498B"/>
    <w:rsid w:val="060C4B01"/>
    <w:rsid w:val="06222A50"/>
    <w:rsid w:val="06475B39"/>
    <w:rsid w:val="0658762B"/>
    <w:rsid w:val="067B6C86"/>
    <w:rsid w:val="067D77AC"/>
    <w:rsid w:val="06AB431A"/>
    <w:rsid w:val="06C57CBA"/>
    <w:rsid w:val="06D25D4A"/>
    <w:rsid w:val="06E15F8D"/>
    <w:rsid w:val="06F07F7E"/>
    <w:rsid w:val="06FF6413"/>
    <w:rsid w:val="073E6F3C"/>
    <w:rsid w:val="07754928"/>
    <w:rsid w:val="07B2792A"/>
    <w:rsid w:val="07E1316C"/>
    <w:rsid w:val="086A5B0F"/>
    <w:rsid w:val="0870581B"/>
    <w:rsid w:val="08762705"/>
    <w:rsid w:val="08841607"/>
    <w:rsid w:val="08B50FFC"/>
    <w:rsid w:val="08FF6B9F"/>
    <w:rsid w:val="09815806"/>
    <w:rsid w:val="09A137B2"/>
    <w:rsid w:val="09DA6CC4"/>
    <w:rsid w:val="0A4E44FD"/>
    <w:rsid w:val="0AD83203"/>
    <w:rsid w:val="0AE55920"/>
    <w:rsid w:val="0B2B5A29"/>
    <w:rsid w:val="0B464611"/>
    <w:rsid w:val="0B7D3DAB"/>
    <w:rsid w:val="0C030754"/>
    <w:rsid w:val="0C8A677F"/>
    <w:rsid w:val="0CE2480D"/>
    <w:rsid w:val="0D240982"/>
    <w:rsid w:val="0D4E59FF"/>
    <w:rsid w:val="0D6E006D"/>
    <w:rsid w:val="0D815DD4"/>
    <w:rsid w:val="0D8D4779"/>
    <w:rsid w:val="0D9C676A"/>
    <w:rsid w:val="0DE93979"/>
    <w:rsid w:val="0E5C239D"/>
    <w:rsid w:val="0E9C09EC"/>
    <w:rsid w:val="0E9C2376"/>
    <w:rsid w:val="0EA0228A"/>
    <w:rsid w:val="0EC609D2"/>
    <w:rsid w:val="0EE02FCE"/>
    <w:rsid w:val="0EEA6088"/>
    <w:rsid w:val="0F0F5662"/>
    <w:rsid w:val="0F153EE2"/>
    <w:rsid w:val="0F786D63"/>
    <w:rsid w:val="0FB75ADD"/>
    <w:rsid w:val="0FC30926"/>
    <w:rsid w:val="1057106E"/>
    <w:rsid w:val="108856CC"/>
    <w:rsid w:val="10B22C9E"/>
    <w:rsid w:val="10B262A5"/>
    <w:rsid w:val="10D73F5D"/>
    <w:rsid w:val="10F44B0F"/>
    <w:rsid w:val="11072A94"/>
    <w:rsid w:val="111F7DDE"/>
    <w:rsid w:val="118063A3"/>
    <w:rsid w:val="118A0FD0"/>
    <w:rsid w:val="119D0D03"/>
    <w:rsid w:val="12266F4A"/>
    <w:rsid w:val="122A006F"/>
    <w:rsid w:val="12D76496"/>
    <w:rsid w:val="13203999"/>
    <w:rsid w:val="134578A4"/>
    <w:rsid w:val="13477178"/>
    <w:rsid w:val="13906D71"/>
    <w:rsid w:val="13C609E5"/>
    <w:rsid w:val="13C7650B"/>
    <w:rsid w:val="1441006B"/>
    <w:rsid w:val="14693DEC"/>
    <w:rsid w:val="148461AA"/>
    <w:rsid w:val="14922675"/>
    <w:rsid w:val="14B60A59"/>
    <w:rsid w:val="150952B8"/>
    <w:rsid w:val="15712BD2"/>
    <w:rsid w:val="15783F61"/>
    <w:rsid w:val="15B14D7D"/>
    <w:rsid w:val="15CD44D1"/>
    <w:rsid w:val="16BA5EB3"/>
    <w:rsid w:val="16C86822"/>
    <w:rsid w:val="16E42F30"/>
    <w:rsid w:val="16E834C7"/>
    <w:rsid w:val="16ED6288"/>
    <w:rsid w:val="1715758D"/>
    <w:rsid w:val="181126B2"/>
    <w:rsid w:val="1820443C"/>
    <w:rsid w:val="183103F7"/>
    <w:rsid w:val="183C74C7"/>
    <w:rsid w:val="18422604"/>
    <w:rsid w:val="185D28BB"/>
    <w:rsid w:val="185F6D12"/>
    <w:rsid w:val="1881137E"/>
    <w:rsid w:val="18A46A59"/>
    <w:rsid w:val="18A60DE5"/>
    <w:rsid w:val="18E90CD1"/>
    <w:rsid w:val="191775ED"/>
    <w:rsid w:val="194F4FD8"/>
    <w:rsid w:val="196640D0"/>
    <w:rsid w:val="19670574"/>
    <w:rsid w:val="197B401F"/>
    <w:rsid w:val="199F5196"/>
    <w:rsid w:val="19A05834"/>
    <w:rsid w:val="19B25567"/>
    <w:rsid w:val="19BB441C"/>
    <w:rsid w:val="19EA2F53"/>
    <w:rsid w:val="19ED659F"/>
    <w:rsid w:val="1A9F3D3E"/>
    <w:rsid w:val="1AB570BD"/>
    <w:rsid w:val="1AF916A0"/>
    <w:rsid w:val="1B4A1EFB"/>
    <w:rsid w:val="1B753202"/>
    <w:rsid w:val="1B7A3E63"/>
    <w:rsid w:val="1B9118D8"/>
    <w:rsid w:val="1BEF4851"/>
    <w:rsid w:val="1C197B20"/>
    <w:rsid w:val="1C4032FE"/>
    <w:rsid w:val="1C450915"/>
    <w:rsid w:val="1C8431EB"/>
    <w:rsid w:val="1CB515F6"/>
    <w:rsid w:val="1CBA09BB"/>
    <w:rsid w:val="1CBB4733"/>
    <w:rsid w:val="1CBD66FD"/>
    <w:rsid w:val="1D1327C1"/>
    <w:rsid w:val="1D497F91"/>
    <w:rsid w:val="1D8B2357"/>
    <w:rsid w:val="1DB00010"/>
    <w:rsid w:val="1DD106B2"/>
    <w:rsid w:val="1E0006AD"/>
    <w:rsid w:val="1E560BB7"/>
    <w:rsid w:val="1E592455"/>
    <w:rsid w:val="1ECF44C6"/>
    <w:rsid w:val="1F420A72"/>
    <w:rsid w:val="1F737547"/>
    <w:rsid w:val="1F901EA7"/>
    <w:rsid w:val="20032679"/>
    <w:rsid w:val="20967991"/>
    <w:rsid w:val="20B41BC5"/>
    <w:rsid w:val="20DF30E6"/>
    <w:rsid w:val="2127683B"/>
    <w:rsid w:val="215238B8"/>
    <w:rsid w:val="215A1A5E"/>
    <w:rsid w:val="21B207FA"/>
    <w:rsid w:val="21B300CF"/>
    <w:rsid w:val="21CE4801"/>
    <w:rsid w:val="21EB5BA8"/>
    <w:rsid w:val="220152DE"/>
    <w:rsid w:val="22E542B8"/>
    <w:rsid w:val="230307BE"/>
    <w:rsid w:val="232E3EB1"/>
    <w:rsid w:val="233139A1"/>
    <w:rsid w:val="23356FED"/>
    <w:rsid w:val="23671171"/>
    <w:rsid w:val="23A1796A"/>
    <w:rsid w:val="23D507D0"/>
    <w:rsid w:val="2423153B"/>
    <w:rsid w:val="2466767A"/>
    <w:rsid w:val="24C22B02"/>
    <w:rsid w:val="25010FCF"/>
    <w:rsid w:val="250550E5"/>
    <w:rsid w:val="251D41DD"/>
    <w:rsid w:val="25290DD3"/>
    <w:rsid w:val="257302A1"/>
    <w:rsid w:val="25A8302D"/>
    <w:rsid w:val="25E116AE"/>
    <w:rsid w:val="2613738E"/>
    <w:rsid w:val="261D0995"/>
    <w:rsid w:val="26435EC5"/>
    <w:rsid w:val="264E03C6"/>
    <w:rsid w:val="2671601B"/>
    <w:rsid w:val="26CD39E1"/>
    <w:rsid w:val="278C73F8"/>
    <w:rsid w:val="278E13C2"/>
    <w:rsid w:val="279D7857"/>
    <w:rsid w:val="27AB1F74"/>
    <w:rsid w:val="28904CC6"/>
    <w:rsid w:val="289E5635"/>
    <w:rsid w:val="28D64DCE"/>
    <w:rsid w:val="290731DA"/>
    <w:rsid w:val="290C07F0"/>
    <w:rsid w:val="290D27BA"/>
    <w:rsid w:val="29437F8A"/>
    <w:rsid w:val="296323DA"/>
    <w:rsid w:val="296C5733"/>
    <w:rsid w:val="29C94933"/>
    <w:rsid w:val="2A157B78"/>
    <w:rsid w:val="2A662182"/>
    <w:rsid w:val="2A9A1E2C"/>
    <w:rsid w:val="2ABC1DA2"/>
    <w:rsid w:val="2ADE440E"/>
    <w:rsid w:val="2B3B360F"/>
    <w:rsid w:val="2B3E4EAD"/>
    <w:rsid w:val="2B6F32B8"/>
    <w:rsid w:val="2B801F8B"/>
    <w:rsid w:val="2B9351F9"/>
    <w:rsid w:val="2BAC1E16"/>
    <w:rsid w:val="2BE5357A"/>
    <w:rsid w:val="2BFF463C"/>
    <w:rsid w:val="2C2E3173"/>
    <w:rsid w:val="2C4958B7"/>
    <w:rsid w:val="2C8E3C12"/>
    <w:rsid w:val="2CCB451E"/>
    <w:rsid w:val="2D8A43D9"/>
    <w:rsid w:val="2D99461C"/>
    <w:rsid w:val="2D9C10A4"/>
    <w:rsid w:val="2D9E1C33"/>
    <w:rsid w:val="2DD65871"/>
    <w:rsid w:val="2DF47AA5"/>
    <w:rsid w:val="2DFB7085"/>
    <w:rsid w:val="2DFD4BAB"/>
    <w:rsid w:val="2E6E3CFB"/>
    <w:rsid w:val="2E870919"/>
    <w:rsid w:val="2F662C24"/>
    <w:rsid w:val="2F7470EF"/>
    <w:rsid w:val="2FBE036A"/>
    <w:rsid w:val="2FEC3129"/>
    <w:rsid w:val="2FED29FE"/>
    <w:rsid w:val="300D4E4E"/>
    <w:rsid w:val="30F009F7"/>
    <w:rsid w:val="3139239E"/>
    <w:rsid w:val="31C205E6"/>
    <w:rsid w:val="31DD5420"/>
    <w:rsid w:val="320A5AE9"/>
    <w:rsid w:val="32495C16"/>
    <w:rsid w:val="32D14858"/>
    <w:rsid w:val="32D17A14"/>
    <w:rsid w:val="33331FD2"/>
    <w:rsid w:val="33552D94"/>
    <w:rsid w:val="337A6C9E"/>
    <w:rsid w:val="337B4EF0"/>
    <w:rsid w:val="338F0D31"/>
    <w:rsid w:val="33BE6B8B"/>
    <w:rsid w:val="33CA3782"/>
    <w:rsid w:val="34192013"/>
    <w:rsid w:val="344277BC"/>
    <w:rsid w:val="345D45F6"/>
    <w:rsid w:val="34670FD0"/>
    <w:rsid w:val="347A3B62"/>
    <w:rsid w:val="3489363D"/>
    <w:rsid w:val="3491604D"/>
    <w:rsid w:val="34C46423"/>
    <w:rsid w:val="353A66E5"/>
    <w:rsid w:val="3540620C"/>
    <w:rsid w:val="354B26A0"/>
    <w:rsid w:val="355E6A9D"/>
    <w:rsid w:val="35611EC4"/>
    <w:rsid w:val="35675000"/>
    <w:rsid w:val="35AB313F"/>
    <w:rsid w:val="35BF7C12"/>
    <w:rsid w:val="35FF40B4"/>
    <w:rsid w:val="36407D2B"/>
    <w:rsid w:val="36483084"/>
    <w:rsid w:val="36864261"/>
    <w:rsid w:val="369B7657"/>
    <w:rsid w:val="36A22794"/>
    <w:rsid w:val="36CD03FF"/>
    <w:rsid w:val="37451BA0"/>
    <w:rsid w:val="3782074E"/>
    <w:rsid w:val="3787198A"/>
    <w:rsid w:val="379540A7"/>
    <w:rsid w:val="37AB5678"/>
    <w:rsid w:val="37DC5F59"/>
    <w:rsid w:val="37FA18DB"/>
    <w:rsid w:val="38284F1B"/>
    <w:rsid w:val="38675A43"/>
    <w:rsid w:val="386817BB"/>
    <w:rsid w:val="387719FE"/>
    <w:rsid w:val="38806B05"/>
    <w:rsid w:val="389E210A"/>
    <w:rsid w:val="38CD161E"/>
    <w:rsid w:val="39161217"/>
    <w:rsid w:val="39A607ED"/>
    <w:rsid w:val="39C649EB"/>
    <w:rsid w:val="39DD25A8"/>
    <w:rsid w:val="39FE4185"/>
    <w:rsid w:val="3A2223F3"/>
    <w:rsid w:val="3A8D375B"/>
    <w:rsid w:val="3AAD7959"/>
    <w:rsid w:val="3AFC50E0"/>
    <w:rsid w:val="3B0C4680"/>
    <w:rsid w:val="3B181276"/>
    <w:rsid w:val="3B84690C"/>
    <w:rsid w:val="3B892174"/>
    <w:rsid w:val="3B965B95"/>
    <w:rsid w:val="3BA66882"/>
    <w:rsid w:val="3BB15227"/>
    <w:rsid w:val="3BD74C8E"/>
    <w:rsid w:val="3BFA4E20"/>
    <w:rsid w:val="3CD4741F"/>
    <w:rsid w:val="3CE21B3C"/>
    <w:rsid w:val="3CE77152"/>
    <w:rsid w:val="3D1E68EC"/>
    <w:rsid w:val="3D324D36"/>
    <w:rsid w:val="3DC96858"/>
    <w:rsid w:val="3DD50400"/>
    <w:rsid w:val="3DE90CA8"/>
    <w:rsid w:val="3E194CE3"/>
    <w:rsid w:val="3E263CAA"/>
    <w:rsid w:val="3E2C6DE7"/>
    <w:rsid w:val="3E720C9E"/>
    <w:rsid w:val="3EDF0565"/>
    <w:rsid w:val="3F1119D1"/>
    <w:rsid w:val="3F177A97"/>
    <w:rsid w:val="3FB3156E"/>
    <w:rsid w:val="3FBD23EC"/>
    <w:rsid w:val="3FBFAE39"/>
    <w:rsid w:val="40152228"/>
    <w:rsid w:val="40827192"/>
    <w:rsid w:val="40D0614F"/>
    <w:rsid w:val="40E37C31"/>
    <w:rsid w:val="41202C33"/>
    <w:rsid w:val="4125649B"/>
    <w:rsid w:val="413761CE"/>
    <w:rsid w:val="415648A7"/>
    <w:rsid w:val="41A25D3E"/>
    <w:rsid w:val="421B164C"/>
    <w:rsid w:val="42310E70"/>
    <w:rsid w:val="42462B6D"/>
    <w:rsid w:val="424D3EFC"/>
    <w:rsid w:val="42A87384"/>
    <w:rsid w:val="42BC2E2F"/>
    <w:rsid w:val="42F711A5"/>
    <w:rsid w:val="432D1637"/>
    <w:rsid w:val="43A23DD3"/>
    <w:rsid w:val="43D441A9"/>
    <w:rsid w:val="43EC14F2"/>
    <w:rsid w:val="449E078A"/>
    <w:rsid w:val="44E050E5"/>
    <w:rsid w:val="44EE4DF6"/>
    <w:rsid w:val="45701CAF"/>
    <w:rsid w:val="46BB51AC"/>
    <w:rsid w:val="46CD560B"/>
    <w:rsid w:val="47044DA5"/>
    <w:rsid w:val="47095F17"/>
    <w:rsid w:val="471A0124"/>
    <w:rsid w:val="472114B3"/>
    <w:rsid w:val="4746716B"/>
    <w:rsid w:val="479954ED"/>
    <w:rsid w:val="480F3A01"/>
    <w:rsid w:val="4812704D"/>
    <w:rsid w:val="484D0086"/>
    <w:rsid w:val="485E265B"/>
    <w:rsid w:val="48B30830"/>
    <w:rsid w:val="48C7608A"/>
    <w:rsid w:val="491312CF"/>
    <w:rsid w:val="49690EEF"/>
    <w:rsid w:val="4A174DEF"/>
    <w:rsid w:val="4A6A3171"/>
    <w:rsid w:val="4A7140CA"/>
    <w:rsid w:val="4ADB7BCB"/>
    <w:rsid w:val="4AE9678B"/>
    <w:rsid w:val="4B410375"/>
    <w:rsid w:val="4BF453E8"/>
    <w:rsid w:val="4BF5382E"/>
    <w:rsid w:val="4C0B2731"/>
    <w:rsid w:val="4C1E4213"/>
    <w:rsid w:val="4CA23096"/>
    <w:rsid w:val="4CA566E2"/>
    <w:rsid w:val="4CBD57DA"/>
    <w:rsid w:val="4CDA2830"/>
    <w:rsid w:val="4D153868"/>
    <w:rsid w:val="4D5A571F"/>
    <w:rsid w:val="4D5B0EA9"/>
    <w:rsid w:val="4DBC0187"/>
    <w:rsid w:val="4DC31516"/>
    <w:rsid w:val="4DF71B0F"/>
    <w:rsid w:val="4E2B70BB"/>
    <w:rsid w:val="4E4168DE"/>
    <w:rsid w:val="4E6600F3"/>
    <w:rsid w:val="4E916F1E"/>
    <w:rsid w:val="4EA76741"/>
    <w:rsid w:val="4EFD0A57"/>
    <w:rsid w:val="4F455F5A"/>
    <w:rsid w:val="4F4D4157"/>
    <w:rsid w:val="4F5159D7"/>
    <w:rsid w:val="4F6463E1"/>
    <w:rsid w:val="4F9F38BD"/>
    <w:rsid w:val="4FB8497E"/>
    <w:rsid w:val="4FCE41A2"/>
    <w:rsid w:val="50620822"/>
    <w:rsid w:val="50D47596"/>
    <w:rsid w:val="50D6330E"/>
    <w:rsid w:val="51112598"/>
    <w:rsid w:val="513D15DF"/>
    <w:rsid w:val="5144471C"/>
    <w:rsid w:val="515B7CB7"/>
    <w:rsid w:val="516A1CA8"/>
    <w:rsid w:val="517A013D"/>
    <w:rsid w:val="519F1952"/>
    <w:rsid w:val="51A056CA"/>
    <w:rsid w:val="51E47CAD"/>
    <w:rsid w:val="523A5D4C"/>
    <w:rsid w:val="52B92EE7"/>
    <w:rsid w:val="532366DF"/>
    <w:rsid w:val="54136627"/>
    <w:rsid w:val="54322F51"/>
    <w:rsid w:val="54372316"/>
    <w:rsid w:val="54492049"/>
    <w:rsid w:val="549E4143"/>
    <w:rsid w:val="55627866"/>
    <w:rsid w:val="558A0B6B"/>
    <w:rsid w:val="55BA31FE"/>
    <w:rsid w:val="55EE4C56"/>
    <w:rsid w:val="563D798B"/>
    <w:rsid w:val="565C6063"/>
    <w:rsid w:val="56690780"/>
    <w:rsid w:val="568D26C1"/>
    <w:rsid w:val="568F468B"/>
    <w:rsid w:val="56ED13B1"/>
    <w:rsid w:val="570C5CDB"/>
    <w:rsid w:val="571E156B"/>
    <w:rsid w:val="571E5A0F"/>
    <w:rsid w:val="572A7F10"/>
    <w:rsid w:val="573F0F10"/>
    <w:rsid w:val="574B045A"/>
    <w:rsid w:val="577E200A"/>
    <w:rsid w:val="57D460CD"/>
    <w:rsid w:val="58360B36"/>
    <w:rsid w:val="58503433"/>
    <w:rsid w:val="58931AE5"/>
    <w:rsid w:val="58935F89"/>
    <w:rsid w:val="58B8779D"/>
    <w:rsid w:val="58E6430A"/>
    <w:rsid w:val="58E80082"/>
    <w:rsid w:val="591F15CA"/>
    <w:rsid w:val="598F3DDC"/>
    <w:rsid w:val="59A044B9"/>
    <w:rsid w:val="5A7C4F26"/>
    <w:rsid w:val="5ACF3815"/>
    <w:rsid w:val="5B3F8B58"/>
    <w:rsid w:val="5B4812AC"/>
    <w:rsid w:val="5B6F4A8B"/>
    <w:rsid w:val="5B74479A"/>
    <w:rsid w:val="5BEC7E8A"/>
    <w:rsid w:val="5C441A74"/>
    <w:rsid w:val="5C4952DC"/>
    <w:rsid w:val="5C761E49"/>
    <w:rsid w:val="5C8207EE"/>
    <w:rsid w:val="5CA249EC"/>
    <w:rsid w:val="5CF8285E"/>
    <w:rsid w:val="5CFA0384"/>
    <w:rsid w:val="5CFC10D2"/>
    <w:rsid w:val="5CFC234E"/>
    <w:rsid w:val="5D041203"/>
    <w:rsid w:val="5D2378DB"/>
    <w:rsid w:val="5D4930BA"/>
    <w:rsid w:val="5D5A0E23"/>
    <w:rsid w:val="5D6879E4"/>
    <w:rsid w:val="5D746389"/>
    <w:rsid w:val="5D902A97"/>
    <w:rsid w:val="5DA86032"/>
    <w:rsid w:val="5DAA1DAA"/>
    <w:rsid w:val="5DDE3802"/>
    <w:rsid w:val="5DF66D9E"/>
    <w:rsid w:val="5E916AC6"/>
    <w:rsid w:val="5EB5303E"/>
    <w:rsid w:val="5EB915BA"/>
    <w:rsid w:val="5EE237C6"/>
    <w:rsid w:val="5F1119B5"/>
    <w:rsid w:val="5F3758C0"/>
    <w:rsid w:val="5F7C7776"/>
    <w:rsid w:val="5F832D98"/>
    <w:rsid w:val="5FCE4987"/>
    <w:rsid w:val="5FED5F7E"/>
    <w:rsid w:val="5FF7E3FA"/>
    <w:rsid w:val="5FF94923"/>
    <w:rsid w:val="602C5A37"/>
    <w:rsid w:val="606A75CF"/>
    <w:rsid w:val="60822B6A"/>
    <w:rsid w:val="60824919"/>
    <w:rsid w:val="60A056E7"/>
    <w:rsid w:val="60AA0313"/>
    <w:rsid w:val="60B116A2"/>
    <w:rsid w:val="60DF1D6B"/>
    <w:rsid w:val="60E26EF2"/>
    <w:rsid w:val="61497B2C"/>
    <w:rsid w:val="6183303E"/>
    <w:rsid w:val="6198407F"/>
    <w:rsid w:val="61C176C2"/>
    <w:rsid w:val="61C84EF5"/>
    <w:rsid w:val="62175534"/>
    <w:rsid w:val="629E5C56"/>
    <w:rsid w:val="62F23D84"/>
    <w:rsid w:val="63236668"/>
    <w:rsid w:val="63466476"/>
    <w:rsid w:val="638B61DA"/>
    <w:rsid w:val="63C60FC0"/>
    <w:rsid w:val="64112C89"/>
    <w:rsid w:val="641E2BAA"/>
    <w:rsid w:val="644F5459"/>
    <w:rsid w:val="645111D2"/>
    <w:rsid w:val="64526CF8"/>
    <w:rsid w:val="64E35BA2"/>
    <w:rsid w:val="651D5558"/>
    <w:rsid w:val="652E506F"/>
    <w:rsid w:val="657333CA"/>
    <w:rsid w:val="658D448B"/>
    <w:rsid w:val="65CC6636"/>
    <w:rsid w:val="65EE18C6"/>
    <w:rsid w:val="66081D64"/>
    <w:rsid w:val="661A1A97"/>
    <w:rsid w:val="661F0E5C"/>
    <w:rsid w:val="664E34EF"/>
    <w:rsid w:val="66611986"/>
    <w:rsid w:val="66A17AC3"/>
    <w:rsid w:val="66E863FD"/>
    <w:rsid w:val="66EF082E"/>
    <w:rsid w:val="672A5D0A"/>
    <w:rsid w:val="676A6106"/>
    <w:rsid w:val="67B258B8"/>
    <w:rsid w:val="67B83316"/>
    <w:rsid w:val="67D22629"/>
    <w:rsid w:val="67FBACAF"/>
    <w:rsid w:val="67FC1489"/>
    <w:rsid w:val="67FC76A6"/>
    <w:rsid w:val="67FF2CF3"/>
    <w:rsid w:val="68442DFB"/>
    <w:rsid w:val="685E210F"/>
    <w:rsid w:val="6870599E"/>
    <w:rsid w:val="68773BBF"/>
    <w:rsid w:val="687C4343"/>
    <w:rsid w:val="68C53F3C"/>
    <w:rsid w:val="68ED3493"/>
    <w:rsid w:val="68F77E6E"/>
    <w:rsid w:val="69074555"/>
    <w:rsid w:val="69362744"/>
    <w:rsid w:val="693764BC"/>
    <w:rsid w:val="698A2A90"/>
    <w:rsid w:val="6A022F6E"/>
    <w:rsid w:val="6B811C71"/>
    <w:rsid w:val="6B9320D0"/>
    <w:rsid w:val="6BAF4A30"/>
    <w:rsid w:val="6BC93D43"/>
    <w:rsid w:val="6BD44496"/>
    <w:rsid w:val="6BE02E3B"/>
    <w:rsid w:val="6BE20961"/>
    <w:rsid w:val="6BEC5C84"/>
    <w:rsid w:val="6C2E004A"/>
    <w:rsid w:val="6C4C227F"/>
    <w:rsid w:val="6D3C6797"/>
    <w:rsid w:val="6D4A4A10"/>
    <w:rsid w:val="6D97577B"/>
    <w:rsid w:val="6DBA30B1"/>
    <w:rsid w:val="6DE07122"/>
    <w:rsid w:val="6E447033"/>
    <w:rsid w:val="6E7C509D"/>
    <w:rsid w:val="6EEA46FD"/>
    <w:rsid w:val="6F23376B"/>
    <w:rsid w:val="6F4F0424"/>
    <w:rsid w:val="6F593630"/>
    <w:rsid w:val="6F6049BF"/>
    <w:rsid w:val="6FAA3E8C"/>
    <w:rsid w:val="6FF375E1"/>
    <w:rsid w:val="70180DF5"/>
    <w:rsid w:val="7020414E"/>
    <w:rsid w:val="70441BEA"/>
    <w:rsid w:val="704A4D27"/>
    <w:rsid w:val="708F6BDE"/>
    <w:rsid w:val="709335E5"/>
    <w:rsid w:val="70E1568B"/>
    <w:rsid w:val="712565D7"/>
    <w:rsid w:val="713C6D66"/>
    <w:rsid w:val="71926986"/>
    <w:rsid w:val="71B40FF2"/>
    <w:rsid w:val="71F25676"/>
    <w:rsid w:val="71F413EE"/>
    <w:rsid w:val="72273572"/>
    <w:rsid w:val="727E6F0A"/>
    <w:rsid w:val="72E6342D"/>
    <w:rsid w:val="72E8136F"/>
    <w:rsid w:val="72E90C14"/>
    <w:rsid w:val="730E64E0"/>
    <w:rsid w:val="739B4217"/>
    <w:rsid w:val="73BE1CB4"/>
    <w:rsid w:val="73C13552"/>
    <w:rsid w:val="73C372CA"/>
    <w:rsid w:val="744A1799"/>
    <w:rsid w:val="74604B19"/>
    <w:rsid w:val="74634609"/>
    <w:rsid w:val="749C34D3"/>
    <w:rsid w:val="74B17A6A"/>
    <w:rsid w:val="74C01A5C"/>
    <w:rsid w:val="74C46AAD"/>
    <w:rsid w:val="74C759C7"/>
    <w:rsid w:val="752C70F1"/>
    <w:rsid w:val="753164B5"/>
    <w:rsid w:val="75504B8E"/>
    <w:rsid w:val="76320737"/>
    <w:rsid w:val="763E70DC"/>
    <w:rsid w:val="767F69D7"/>
    <w:rsid w:val="76FD6F97"/>
    <w:rsid w:val="7709593C"/>
    <w:rsid w:val="771816DB"/>
    <w:rsid w:val="773E3870"/>
    <w:rsid w:val="779E42D6"/>
    <w:rsid w:val="77A13DC6"/>
    <w:rsid w:val="77B04009"/>
    <w:rsid w:val="78574515"/>
    <w:rsid w:val="78730387"/>
    <w:rsid w:val="78A70F68"/>
    <w:rsid w:val="78AE679B"/>
    <w:rsid w:val="78B6564F"/>
    <w:rsid w:val="790A7749"/>
    <w:rsid w:val="791400DD"/>
    <w:rsid w:val="79270F41"/>
    <w:rsid w:val="7977760A"/>
    <w:rsid w:val="79EE2BC7"/>
    <w:rsid w:val="7A173ECC"/>
    <w:rsid w:val="7A195E96"/>
    <w:rsid w:val="7A7D3E59"/>
    <w:rsid w:val="7AEF1F65"/>
    <w:rsid w:val="7B2A40D3"/>
    <w:rsid w:val="7B573F15"/>
    <w:rsid w:val="7B7B492E"/>
    <w:rsid w:val="7BD52290"/>
    <w:rsid w:val="7BDA1655"/>
    <w:rsid w:val="7BFC781D"/>
    <w:rsid w:val="7C2E374F"/>
    <w:rsid w:val="7CA51C63"/>
    <w:rsid w:val="7CAB2FF1"/>
    <w:rsid w:val="7CCD740C"/>
    <w:rsid w:val="7CCE8F7D"/>
    <w:rsid w:val="7D440EB6"/>
    <w:rsid w:val="7D4540B8"/>
    <w:rsid w:val="7D456FA2"/>
    <w:rsid w:val="7D4A0A5C"/>
    <w:rsid w:val="7D6513F2"/>
    <w:rsid w:val="7DA71A0B"/>
    <w:rsid w:val="7DD699C5"/>
    <w:rsid w:val="7E0230E5"/>
    <w:rsid w:val="7E260B81"/>
    <w:rsid w:val="7E42CFCC"/>
    <w:rsid w:val="7E7538B7"/>
    <w:rsid w:val="7EE4F66C"/>
    <w:rsid w:val="7F3FDF71"/>
    <w:rsid w:val="7F4F5EB6"/>
    <w:rsid w:val="7F651B7D"/>
    <w:rsid w:val="7F853FCE"/>
    <w:rsid w:val="7F914720"/>
    <w:rsid w:val="7FDA60C7"/>
    <w:rsid w:val="7FFF84AB"/>
    <w:rsid w:val="BCFB3259"/>
    <w:rsid w:val="BDB6D9FE"/>
    <w:rsid w:val="BDFF06C2"/>
    <w:rsid w:val="BF7EE001"/>
    <w:rsid w:val="BFEF248D"/>
    <w:rsid w:val="BFF72D14"/>
    <w:rsid w:val="CFFC4F0B"/>
    <w:rsid w:val="DDF51730"/>
    <w:rsid w:val="E737004C"/>
    <w:rsid w:val="E7E49728"/>
    <w:rsid w:val="F4FBF1D9"/>
    <w:rsid w:val="FBBDA51F"/>
    <w:rsid w:val="FF77A7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2"/>
    <w:qFormat/>
    <w:uiPriority w:val="0"/>
    <w:pPr>
      <w:ind w:leftChars="0" w:firstLine="560" w:firstLineChars="200"/>
      <w:jc w:val="left"/>
      <w:outlineLvl w:val="0"/>
    </w:pPr>
    <w:rPr>
      <w:rFonts w:ascii="宋体" w:hAnsi="宋体" w:eastAsia="宋体" w:cs="宋体"/>
      <w:b/>
      <w:color w:val="auto"/>
      <w:sz w:val="28"/>
      <w:szCs w:val="21"/>
      <w:highlight w:val="none"/>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footer"/>
    <w:basedOn w:val="1"/>
    <w:unhideWhenUsed/>
    <w:qFormat/>
    <w:uiPriority w:val="99"/>
    <w:pPr>
      <w:tabs>
        <w:tab w:val="center" w:pos="4153"/>
        <w:tab w:val="right" w:pos="8306"/>
      </w:tabs>
      <w:snapToGrid w:val="0"/>
      <w:jc w:val="left"/>
    </w:pPr>
    <w:rPr>
      <w:rFonts w:ascii="Calibri" w:hAnsi="Calibri" w:eastAsia="宋体" w:cs="Times New Roman"/>
      <w:sz w:val="18"/>
      <w:szCs w:val="18"/>
    </w:rPr>
  </w:style>
  <w:style w:type="paragraph" w:styleId="5">
    <w:name w:val="header"/>
    <w:basedOn w:val="1"/>
    <w:unhideWhenUsed/>
    <w:qFormat/>
    <w:uiPriority w:val="99"/>
    <w:pPr>
      <w:pBdr>
        <w:bottom w:val="single" w:color="auto" w:sz="6" w:space="1"/>
      </w:pBdr>
      <w:tabs>
        <w:tab w:val="center" w:pos="4153"/>
        <w:tab w:val="right" w:pos="8306"/>
      </w:tabs>
      <w:snapToGrid w:val="0"/>
      <w:jc w:val="center"/>
    </w:pPr>
    <w:rPr>
      <w:rFonts w:ascii="Calibri" w:hAnsi="Calibri" w:eastAsia="宋体" w:cs="Times New Roman"/>
      <w:sz w:val="18"/>
      <w:szCs w:val="18"/>
    </w:rPr>
  </w:style>
  <w:style w:type="paragraph" w:styleId="6">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character" w:styleId="9">
    <w:name w:val="Strong"/>
    <w:basedOn w:val="8"/>
    <w:qFormat/>
    <w:uiPriority w:val="0"/>
    <w:rPr>
      <w:b/>
    </w:rPr>
  </w:style>
  <w:style w:type="character" w:styleId="10">
    <w:name w:val="FollowedHyperlink"/>
    <w:basedOn w:val="8"/>
    <w:qFormat/>
    <w:uiPriority w:val="0"/>
    <w:rPr>
      <w:color w:val="800080"/>
      <w:u w:val="single"/>
    </w:rPr>
  </w:style>
  <w:style w:type="character" w:styleId="11">
    <w:name w:val="Hyperlink"/>
    <w:basedOn w:val="8"/>
    <w:unhideWhenUsed/>
    <w:qFormat/>
    <w:uiPriority w:val="99"/>
    <w:rPr>
      <w:color w:val="0000FF"/>
      <w:u w:val="single"/>
    </w:rPr>
  </w:style>
  <w:style w:type="character" w:customStyle="1" w:styleId="12">
    <w:name w:val="标题 1 Char"/>
    <w:link w:val="2"/>
    <w:qFormat/>
    <w:uiPriority w:val="0"/>
    <w:rPr>
      <w:rFonts w:ascii="宋体" w:hAnsi="宋体" w:eastAsia="宋体" w:cs="宋体"/>
      <w:b/>
      <w:color w:val="auto"/>
      <w:kern w:val="2"/>
      <w:sz w:val="28"/>
      <w:szCs w:val="21"/>
      <w:highlight w:val="none"/>
      <w:lang w:val="en-US" w:eastAsia="zh-CN" w:bidi="ar-SA"/>
    </w:rPr>
  </w:style>
  <w:style w:type="character" w:customStyle="1" w:styleId="13">
    <w:name w:val="font41"/>
    <w:basedOn w:val="8"/>
    <w:qFormat/>
    <w:uiPriority w:val="0"/>
    <w:rPr>
      <w:rFonts w:hint="default" w:ascii="Times New Roman" w:hAnsi="Times New Roman" w:cs="Times New Roman"/>
      <w:color w:val="000000"/>
      <w:sz w:val="22"/>
      <w:szCs w:val="22"/>
      <w:u w:val="none"/>
    </w:rPr>
  </w:style>
  <w:style w:type="character" w:customStyle="1" w:styleId="14">
    <w:name w:val="font11"/>
    <w:basedOn w:val="8"/>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Pages>
  <Words>2746</Words>
  <Characters>2940</Characters>
  <Lines>0</Lines>
  <Paragraphs>0</Paragraphs>
  <TotalTime>0</TotalTime>
  <ScaleCrop>false</ScaleCrop>
  <LinksUpToDate>false</LinksUpToDate>
  <CharactersWithSpaces>2942</CharactersWithSpaces>
  <Application>WPS Office_7.2.2.8955_F1E327BC-269C-435d-A152-05C5408002CA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2025-04-02T01:55:00Z</dcterms:created>
  <dc:creator>金钱豹大王</dc:creator>
  <cp:lastModifiedBy>Alba</cp:lastModifiedBy>
  <dcterms:modified xsi:type="dcterms:W3CDTF">2025-04-07T10:22:03Z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5D473FFE565AE6A2CF70F267059B6B41_43</vt:lpwstr>
  </property>
  <property fmtid="{D5CDD505-2E9C-101B-9397-08002B2CF9AE}" pid="4" name="KSOTemplateDocerSaveRecord">
    <vt:lpwstr>eyJoZGlkIjoiOGViMmIxYTI0Nzg0MDY5OGM2MDE3ZTFlMjNlZmYxYWQiLCJ1c2VySWQiOiI2MzQ5Mzc3MDUifQ==</vt:lpwstr>
  </property>
</Properties>
</file>